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B1" w:rsidRDefault="00A371B1" w:rsidP="00A371B1">
      <w:pPr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附件1</w:t>
      </w:r>
    </w:p>
    <w:p w:rsidR="00A371B1" w:rsidRPr="00A26C20" w:rsidRDefault="00A371B1" w:rsidP="00A371B1">
      <w:pPr>
        <w:spacing w:after="100" w:afterAutospacing="1" w:line="700" w:lineRule="exact"/>
        <w:rPr>
          <w:rFonts w:ascii="方正小标宋_GBK" w:eastAsia="方正小标宋_GBK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 xml:space="preserve">           </w:t>
      </w:r>
      <w:bookmarkStart w:id="0" w:name="_GoBack"/>
      <w:r w:rsidRPr="00A26C20">
        <w:rPr>
          <w:rFonts w:ascii="方正小标宋_GBK" w:eastAsia="方正小标宋_GBK" w:hAnsi="仿宋" w:cs="仿宋" w:hint="eastAsia"/>
          <w:sz w:val="36"/>
          <w:szCs w:val="36"/>
        </w:rPr>
        <w:t>林草职业教育研究课题指南</w:t>
      </w:r>
      <w:bookmarkEnd w:id="0"/>
    </w:p>
    <w:tbl>
      <w:tblPr>
        <w:tblStyle w:val="a3"/>
        <w:tblpPr w:leftFromText="180" w:rightFromText="180" w:vertAnchor="text" w:tblpX="-601" w:tblpY="1"/>
        <w:tblOverlap w:val="never"/>
        <w:tblW w:w="5483" w:type="pct"/>
        <w:tblLook w:val="04A0" w:firstRow="1" w:lastRow="0" w:firstColumn="1" w:lastColumn="0" w:noHBand="0" w:noVBand="1"/>
      </w:tblPr>
      <w:tblGrid>
        <w:gridCol w:w="764"/>
        <w:gridCol w:w="8581"/>
      </w:tblGrid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习近</w:t>
            </w:r>
            <w:proofErr w:type="gramStart"/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平教育</w:t>
            </w:r>
            <w:proofErr w:type="gramEnd"/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思想视角下林草职业院校立德树人和工匠精神培育实践研究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林草职业教育的历史与文化传承研究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共同富裕背景下林草职业教育助力乡村振兴的新路径研究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高质量发展背景下林草</w:t>
            </w:r>
            <w:proofErr w:type="gramStart"/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职业教育职普融通</w:t>
            </w:r>
            <w:proofErr w:type="gramEnd"/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、产教融合、科教</w:t>
            </w:r>
            <w:proofErr w:type="gramStart"/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融汇</w:t>
            </w:r>
            <w:proofErr w:type="gramEnd"/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创新研究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林草职业教育集团化办学机制创新与实践探索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林草类职业院校“双高”建设策略研究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林草职业院校专业（群）建设的理论与实践研究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林草类本科职业教育推进路径和策略研究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pStyle w:val="1"/>
              <w:widowControl/>
              <w:shd w:val="clear" w:color="auto" w:fill="FFFFFF"/>
              <w:spacing w:beforeAutospacing="0" w:afterAutospacing="0" w:line="400" w:lineRule="exact"/>
              <w:outlineLvl w:val="0"/>
              <w:rPr>
                <w:rFonts w:ascii="方正仿宋_GBK" w:eastAsia="方正仿宋_GBK" w:hAnsi="仿宋" w:cs="仿宋" w:hint="default"/>
                <w:b w:val="0"/>
                <w:bCs w:val="0"/>
                <w:kern w:val="2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/>
                <w:b w:val="0"/>
                <w:bCs w:val="0"/>
                <w:kern w:val="2"/>
                <w:sz w:val="28"/>
                <w:szCs w:val="28"/>
              </w:rPr>
              <w:t>林草职业教育“双师型”教师认定标准研究</w:t>
            </w:r>
          </w:p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4591" w:type="pct"/>
            <w:vAlign w:val="center"/>
          </w:tcPr>
          <w:p w:rsidR="00A371B1" w:rsidRPr="00EF1D13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b/>
                <w:bCs/>
                <w:kern w:val="2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林草职业教育</w:t>
            </w:r>
            <w:r>
              <w:rPr>
                <w:rFonts w:ascii="仿宋" w:eastAsia="仿宋" w:hAnsi="仿宋" w:cs="仿宋"/>
                <w:sz w:val="30"/>
                <w:szCs w:val="30"/>
              </w:rPr>
              <w:t>教师能力提升路径研究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林草职业教育数字化教学资源建设与应用研究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林草类国家职业技能等级标准开发策略与研究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4591" w:type="pct"/>
            <w:vAlign w:val="center"/>
          </w:tcPr>
          <w:p w:rsidR="00A371B1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林草高职院校高水平教学团队、科研团队建设策略研究</w:t>
            </w:r>
          </w:p>
          <w:p w:rsidR="00A371B1" w:rsidRPr="00EF1D13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林草职业教育生产实训基地建设整体解决方案、评价标准及其实践研究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林草职业教育国际化衔接的实践与探索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林草行业人才需求预测、职业生涯发展研究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高职通识课程在林草职业教育育人方面的作用研究</w:t>
            </w:r>
          </w:p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基于新目录新专标的林草类专业课程标准建设研究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w w:val="90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w w:val="90"/>
                <w:sz w:val="28"/>
                <w:szCs w:val="28"/>
              </w:rPr>
              <w:t>19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新专业目录背景下高职林草系列教材建设研究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w w:val="90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w w:val="90"/>
                <w:sz w:val="28"/>
                <w:szCs w:val="28"/>
              </w:rPr>
              <w:t>20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林草职业教育技能大赛引领教育教学改革创新的整体解决方案研究</w:t>
            </w:r>
          </w:p>
        </w:tc>
      </w:tr>
      <w:tr w:rsidR="00A371B1" w:rsidRPr="00D4042F" w:rsidTr="008863C9">
        <w:trPr>
          <w:trHeight w:hRule="exact" w:val="510"/>
        </w:trPr>
        <w:tc>
          <w:tcPr>
            <w:tcW w:w="409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center"/>
              <w:rPr>
                <w:rFonts w:ascii="方正仿宋_GBK" w:eastAsia="方正仿宋_GBK" w:hAnsi="仿宋" w:cs="仿宋"/>
                <w:w w:val="90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w w:val="90"/>
                <w:sz w:val="28"/>
                <w:szCs w:val="28"/>
              </w:rPr>
              <w:t>21</w:t>
            </w:r>
          </w:p>
        </w:tc>
        <w:tc>
          <w:tcPr>
            <w:tcW w:w="4591" w:type="pct"/>
            <w:vAlign w:val="center"/>
          </w:tcPr>
          <w:p w:rsidR="00A371B1" w:rsidRPr="00D4042F" w:rsidRDefault="00A371B1" w:rsidP="008863C9">
            <w:pPr>
              <w:spacing w:line="400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4042F">
              <w:rPr>
                <w:rFonts w:ascii="方正仿宋_GBK" w:eastAsia="方正仿宋_GBK" w:hAnsi="仿宋" w:cs="仿宋" w:hint="eastAsia"/>
                <w:sz w:val="28"/>
                <w:szCs w:val="28"/>
              </w:rPr>
              <w:t>职业教育林草类专业毕业生对口就业现状、问题与对策研究</w:t>
            </w:r>
          </w:p>
        </w:tc>
      </w:tr>
    </w:tbl>
    <w:p w:rsidR="00F1258B" w:rsidRPr="00A371B1" w:rsidRDefault="00F1258B"/>
    <w:sectPr w:rsidR="00F1258B" w:rsidRPr="00A3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B1"/>
    <w:rsid w:val="00A371B1"/>
    <w:rsid w:val="00F1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B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371B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71B1"/>
    <w:rPr>
      <w:rFonts w:ascii="宋体" w:eastAsia="宋体" w:hAnsi="宋体" w:cs="Times New Roman"/>
      <w:b/>
      <w:bCs/>
      <w:kern w:val="44"/>
      <w:sz w:val="48"/>
      <w:szCs w:val="48"/>
    </w:rPr>
  </w:style>
  <w:style w:type="table" w:styleId="a3">
    <w:name w:val="Table Grid"/>
    <w:basedOn w:val="a1"/>
    <w:uiPriority w:val="59"/>
    <w:qFormat/>
    <w:rsid w:val="00A371B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B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371B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71B1"/>
    <w:rPr>
      <w:rFonts w:ascii="宋体" w:eastAsia="宋体" w:hAnsi="宋体" w:cs="Times New Roman"/>
      <w:b/>
      <w:bCs/>
      <w:kern w:val="44"/>
      <w:sz w:val="48"/>
      <w:szCs w:val="48"/>
    </w:rPr>
  </w:style>
  <w:style w:type="table" w:styleId="a3">
    <w:name w:val="Table Grid"/>
    <w:basedOn w:val="a1"/>
    <w:uiPriority w:val="59"/>
    <w:qFormat/>
    <w:rsid w:val="00A371B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</dc:creator>
  <cp:lastModifiedBy>yn</cp:lastModifiedBy>
  <cp:revision>1</cp:revision>
  <dcterms:created xsi:type="dcterms:W3CDTF">2023-03-31T02:13:00Z</dcterms:created>
  <dcterms:modified xsi:type="dcterms:W3CDTF">2023-03-31T02:14:00Z</dcterms:modified>
</cp:coreProperties>
</file>