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2" w:lineRule="auto"/>
        <w:ind w:left="3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附件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  我校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未结题</w:t>
      </w:r>
      <w:r>
        <w:rPr>
          <w:rFonts w:ascii="仿宋" w:hAnsi="仿宋" w:eastAsia="仿宋" w:cs="仿宋"/>
          <w:spacing w:val="-6"/>
          <w:sz w:val="28"/>
          <w:szCs w:val="28"/>
        </w:rPr>
        <w:t>的 2018-202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年度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广东省普通高校</w:t>
      </w:r>
      <w:r>
        <w:rPr>
          <w:rFonts w:ascii="仿宋" w:hAnsi="仿宋" w:eastAsia="仿宋" w:cs="仿宋"/>
          <w:spacing w:val="-6"/>
          <w:sz w:val="28"/>
          <w:szCs w:val="28"/>
        </w:rPr>
        <w:t>科研项目一览表</w:t>
      </w:r>
    </w:p>
    <w:p>
      <w:pPr>
        <w:spacing w:line="115" w:lineRule="exact"/>
      </w:pPr>
    </w:p>
    <w:tbl>
      <w:tblPr>
        <w:tblStyle w:val="4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846"/>
        <w:gridCol w:w="4733"/>
        <w:gridCol w:w="1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20" w:type="dxa"/>
            <w:vAlign w:val="top"/>
          </w:tcPr>
          <w:p>
            <w:pPr>
              <w:spacing w:before="164" w:line="231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46" w:type="dxa"/>
            <w:vAlign w:val="top"/>
          </w:tcPr>
          <w:p>
            <w:pPr>
              <w:spacing w:before="164" w:line="232" w:lineRule="auto"/>
              <w:ind w:left="5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立项编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733" w:type="dxa"/>
            <w:vAlign w:val="top"/>
          </w:tcPr>
          <w:p>
            <w:pPr>
              <w:spacing w:before="164" w:line="229" w:lineRule="auto"/>
              <w:ind w:left="19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782" w:type="dxa"/>
            <w:vAlign w:val="top"/>
          </w:tcPr>
          <w:p>
            <w:pPr>
              <w:spacing w:before="164" w:line="232" w:lineRule="auto"/>
              <w:ind w:left="3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" w:type="dxa"/>
            <w:vAlign w:val="top"/>
          </w:tcPr>
          <w:p>
            <w:pPr>
              <w:spacing w:before="221" w:line="186" w:lineRule="auto"/>
              <w:ind w:left="214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6" w:type="dxa"/>
            <w:vAlign w:val="top"/>
          </w:tcPr>
          <w:p>
            <w:pPr>
              <w:spacing w:before="220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061</w:t>
            </w:r>
          </w:p>
        </w:tc>
        <w:tc>
          <w:tcPr>
            <w:tcW w:w="4733" w:type="dxa"/>
            <w:vAlign w:val="top"/>
          </w:tcPr>
          <w:p>
            <w:pPr>
              <w:spacing w:before="185" w:line="231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于深度序列学习的流域极端降水预测方法研究</w:t>
            </w:r>
          </w:p>
        </w:tc>
        <w:tc>
          <w:tcPr>
            <w:tcW w:w="1782" w:type="dxa"/>
            <w:vAlign w:val="top"/>
          </w:tcPr>
          <w:p>
            <w:pPr>
              <w:spacing w:before="184" w:line="232" w:lineRule="auto"/>
              <w:ind w:left="5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雪真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3" w:line="186" w:lineRule="auto"/>
              <w:ind w:left="21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6" w:type="dxa"/>
            <w:vAlign w:val="top"/>
          </w:tcPr>
          <w:p>
            <w:pPr>
              <w:spacing w:before="252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102</w:t>
            </w:r>
          </w:p>
        </w:tc>
        <w:tc>
          <w:tcPr>
            <w:tcW w:w="4733" w:type="dxa"/>
            <w:vAlign w:val="top"/>
          </w:tcPr>
          <w:p>
            <w:pPr>
              <w:spacing w:before="62" w:line="260" w:lineRule="auto"/>
              <w:ind w:left="2066" w:right="54" w:hanging="19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南方主载“灿烂”蓝莓中花青素提取工艺及组成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分研究</w:t>
            </w:r>
          </w:p>
        </w:tc>
        <w:tc>
          <w:tcPr>
            <w:tcW w:w="1782" w:type="dxa"/>
            <w:vAlign w:val="top"/>
          </w:tcPr>
          <w:p>
            <w:pPr>
              <w:spacing w:before="217" w:line="232" w:lineRule="auto"/>
              <w:ind w:left="6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刘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0" w:type="dxa"/>
            <w:vAlign w:val="top"/>
          </w:tcPr>
          <w:p>
            <w:pPr>
              <w:spacing w:before="141" w:line="186" w:lineRule="auto"/>
              <w:ind w:left="21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6" w:type="dxa"/>
            <w:vAlign w:val="top"/>
          </w:tcPr>
          <w:p>
            <w:pPr>
              <w:spacing w:before="105" w:line="234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114</w:t>
            </w:r>
          </w:p>
        </w:tc>
        <w:tc>
          <w:tcPr>
            <w:tcW w:w="4733" w:type="dxa"/>
            <w:vAlign w:val="top"/>
          </w:tcPr>
          <w:p>
            <w:pPr>
              <w:spacing w:before="105" w:line="229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流程式”护肤品旅行包装组合设计研究</w:t>
            </w:r>
          </w:p>
        </w:tc>
        <w:tc>
          <w:tcPr>
            <w:tcW w:w="1782" w:type="dxa"/>
            <w:vAlign w:val="top"/>
          </w:tcPr>
          <w:p>
            <w:pPr>
              <w:spacing w:before="104" w:line="232" w:lineRule="auto"/>
              <w:ind w:left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黄子威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0" w:type="dxa"/>
            <w:vAlign w:val="top"/>
          </w:tcPr>
          <w:p>
            <w:pPr>
              <w:spacing w:before="196" w:line="184" w:lineRule="auto"/>
              <w:ind w:left="21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6" w:type="dxa"/>
            <w:vAlign w:val="top"/>
          </w:tcPr>
          <w:p>
            <w:pPr>
              <w:spacing w:before="251" w:line="187" w:lineRule="auto"/>
              <w:ind w:left="24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053</w:t>
            </w:r>
          </w:p>
        </w:tc>
        <w:tc>
          <w:tcPr>
            <w:tcW w:w="4733" w:type="dxa"/>
            <w:vAlign w:val="top"/>
          </w:tcPr>
          <w:p>
            <w:pPr>
              <w:spacing w:before="60" w:line="260" w:lineRule="auto"/>
              <w:ind w:left="1958" w:leftChars="0" w:right="107" w:rightChars="0" w:hanging="1833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岭南文化-传统手工艺广绣在现代服装设计中创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应用研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究</w:t>
            </w:r>
          </w:p>
        </w:tc>
        <w:tc>
          <w:tcPr>
            <w:tcW w:w="1782" w:type="dxa"/>
            <w:vAlign w:val="top"/>
          </w:tcPr>
          <w:p>
            <w:pPr>
              <w:spacing w:before="215" w:line="232" w:lineRule="auto"/>
              <w:ind w:left="70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陈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20" w:type="dxa"/>
            <w:vAlign w:val="top"/>
          </w:tcPr>
          <w:p>
            <w:pPr>
              <w:spacing w:before="252" w:line="186" w:lineRule="auto"/>
              <w:ind w:left="213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6" w:type="dxa"/>
            <w:vAlign w:val="top"/>
          </w:tcPr>
          <w:p>
            <w:pPr>
              <w:spacing w:before="192" w:line="187" w:lineRule="auto"/>
              <w:ind w:left="24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065</w:t>
            </w:r>
          </w:p>
        </w:tc>
        <w:tc>
          <w:tcPr>
            <w:tcW w:w="4733" w:type="dxa"/>
            <w:vAlign w:val="top"/>
          </w:tcPr>
          <w:p>
            <w:pPr>
              <w:spacing w:before="157" w:line="229" w:lineRule="auto"/>
              <w:ind w:left="38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花倒水莲皂苷合成关键酶基因的克隆鉴定</w:t>
            </w:r>
          </w:p>
        </w:tc>
        <w:tc>
          <w:tcPr>
            <w:tcW w:w="1782" w:type="dxa"/>
            <w:vAlign w:val="top"/>
          </w:tcPr>
          <w:p>
            <w:pPr>
              <w:spacing w:before="157" w:line="232" w:lineRule="auto"/>
              <w:ind w:left="69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胡</w:t>
            </w:r>
            <w:r>
              <w:rPr>
                <w:rFonts w:ascii="仿宋" w:hAnsi="仿宋" w:eastAsia="仿宋" w:cs="仿宋"/>
                <w:sz w:val="20"/>
                <w:szCs w:val="20"/>
              </w:rPr>
              <w:t>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0" w:type="dxa"/>
            <w:vAlign w:val="top"/>
          </w:tcPr>
          <w:p>
            <w:pPr>
              <w:spacing w:before="195" w:line="184" w:lineRule="auto"/>
              <w:ind w:left="21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46" w:type="dxa"/>
            <w:vAlign w:val="top"/>
          </w:tcPr>
          <w:p>
            <w:pPr>
              <w:spacing w:before="167" w:line="187" w:lineRule="auto"/>
              <w:ind w:left="24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067</w:t>
            </w:r>
          </w:p>
        </w:tc>
        <w:tc>
          <w:tcPr>
            <w:tcW w:w="4733" w:type="dxa"/>
            <w:vAlign w:val="top"/>
          </w:tcPr>
          <w:p>
            <w:pPr>
              <w:spacing w:before="132" w:line="229" w:lineRule="auto"/>
              <w:ind w:left="17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江三角洲地区极端风暴潮灾害风险精细化评估</w:t>
            </w:r>
          </w:p>
        </w:tc>
        <w:tc>
          <w:tcPr>
            <w:tcW w:w="1782" w:type="dxa"/>
            <w:vAlign w:val="top"/>
          </w:tcPr>
          <w:p>
            <w:pPr>
              <w:spacing w:before="132" w:line="231" w:lineRule="auto"/>
              <w:ind w:left="59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王喜娜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20" w:type="dxa"/>
            <w:vAlign w:val="top"/>
          </w:tcPr>
          <w:p>
            <w:pPr>
              <w:spacing w:before="168" w:line="186" w:lineRule="auto"/>
              <w:ind w:left="212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6" w:type="dxa"/>
            <w:vAlign w:val="top"/>
          </w:tcPr>
          <w:p>
            <w:pPr>
              <w:spacing w:before="255" w:line="187" w:lineRule="auto"/>
              <w:ind w:left="24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058</w:t>
            </w:r>
          </w:p>
        </w:tc>
        <w:tc>
          <w:tcPr>
            <w:tcW w:w="4733" w:type="dxa"/>
            <w:vAlign w:val="top"/>
          </w:tcPr>
          <w:p>
            <w:pPr>
              <w:spacing w:before="64" w:line="259" w:lineRule="auto"/>
              <w:ind w:left="1138" w:leftChars="0" w:right="54" w:rightChars="0" w:hanging="1065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市困难立地绿化对城市空气质量的影响研究——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以粤港澳大湾区城市群为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9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列淦文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4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4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059</w:t>
            </w:r>
          </w:p>
        </w:tc>
        <w:tc>
          <w:tcPr>
            <w:tcW w:w="4733" w:type="dxa"/>
            <w:vAlign w:val="top"/>
          </w:tcPr>
          <w:p>
            <w:pPr>
              <w:spacing w:before="66" w:line="259" w:lineRule="auto"/>
              <w:ind w:left="1642" w:leftChars="0" w:right="54" w:rightChars="0" w:hanging="1574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藿香种质资源收集及基于分子水平的优质种苗快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速鉴定体系建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9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王晓宇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46" w:type="dxa"/>
            <w:vAlign w:val="top"/>
          </w:tcPr>
          <w:p>
            <w:pPr>
              <w:spacing w:before="168" w:line="186" w:lineRule="auto"/>
              <w:ind w:left="2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269</w:t>
            </w:r>
          </w:p>
        </w:tc>
        <w:tc>
          <w:tcPr>
            <w:tcW w:w="4733" w:type="dxa"/>
            <w:vAlign w:val="top"/>
          </w:tcPr>
          <w:p>
            <w:pPr>
              <w:spacing w:before="132" w:line="230" w:lineRule="auto"/>
              <w:ind w:left="69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广东松材线虫疫木内栖真菌分离鉴定</w:t>
            </w:r>
          </w:p>
        </w:tc>
        <w:tc>
          <w:tcPr>
            <w:tcW w:w="1782" w:type="dxa"/>
            <w:vAlign w:val="top"/>
          </w:tcPr>
          <w:p>
            <w:pPr>
              <w:spacing w:before="131" w:line="232" w:lineRule="auto"/>
              <w:ind w:left="69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张</w:t>
            </w:r>
            <w:r>
              <w:rPr>
                <w:rFonts w:ascii="仿宋" w:hAnsi="仿宋" w:eastAsia="仿宋" w:cs="仿宋"/>
                <w:sz w:val="20"/>
                <w:szCs w:val="20"/>
              </w:rPr>
              <w:t>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6" w:line="187" w:lineRule="auto"/>
              <w:ind w:left="176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6" w:type="dxa"/>
            <w:vAlign w:val="top"/>
          </w:tcPr>
          <w:p>
            <w:pPr>
              <w:spacing w:before="255" w:line="187" w:lineRule="auto"/>
              <w:ind w:left="2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WTSCX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193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1645" w:leftChars="0" w:right="54" w:rightChars="0" w:hanging="1577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媒体背景下高职电商直播基地校企协同育人模式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实践路径研究</w:t>
            </w:r>
          </w:p>
        </w:tc>
        <w:tc>
          <w:tcPr>
            <w:tcW w:w="1782" w:type="dxa"/>
            <w:vAlign w:val="top"/>
          </w:tcPr>
          <w:p>
            <w:pPr>
              <w:spacing w:before="219" w:line="232" w:lineRule="auto"/>
              <w:ind w:left="59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尹冬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20" w:type="dxa"/>
            <w:vAlign w:val="top"/>
          </w:tcPr>
          <w:p>
            <w:pPr>
              <w:spacing w:before="172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183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2273" w:leftChars="0" w:right="54" w:rightChars="0" w:hanging="2204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于源解析的广州城市绿地土壤重金属污染风险评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价</w:t>
            </w:r>
          </w:p>
        </w:tc>
        <w:tc>
          <w:tcPr>
            <w:tcW w:w="1782" w:type="dxa"/>
            <w:vAlign w:val="top"/>
          </w:tcPr>
          <w:p>
            <w:pPr>
              <w:spacing w:before="220" w:line="229" w:lineRule="auto"/>
              <w:ind w:left="6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唐雄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6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184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2169" w:leftChars="0" w:right="54" w:rightChars="0" w:hanging="2100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于海绵城市建设的珠三角城市绿地土壤蓄渗能力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价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9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贾重建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20" w:type="dxa"/>
            <w:vAlign w:val="top"/>
          </w:tcPr>
          <w:p>
            <w:pPr>
              <w:spacing w:before="167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151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802" w:leftChars="0" w:right="54" w:rightChars="0" w:hanging="733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于使用后评价的城市微型公共空间模式构建策略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研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—— 以广州市开放式小区为例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8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谢朝楠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152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1664" w:leftChars="0" w:right="54" w:rightChars="0" w:hanging="1596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东省自然保护区生态旅游减贫效应评价研究——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以粤北地区为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1" w:lineRule="auto"/>
              <w:ind w:left="69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李樨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76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2021KTSCX254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植物病原线虫拮抗放线菌的分离、筛选与鉴定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王宏洪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6" w:line="186" w:lineRule="auto"/>
              <w:ind w:left="16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2021KTSCX255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广东地区蚧虫种类调查及鉴定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黄少彬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6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2021WTSCX183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广式家具传统纹样库建设及应用研究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top"/>
          </w:tcPr>
          <w:p>
            <w:pPr>
              <w:spacing w:before="257" w:line="186" w:lineRule="auto"/>
              <w:ind w:left="16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2021KQNCX188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罗伊氏乳杆菌通过miR-196a抑制肠上皮细胞炎症反应和凋亡在肠炎治疗中的机制研究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谢梅英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2021KQNCX189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嘉宝果不同品种在广州地区的物候期和农艺性状研究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覃俏梅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2021WQNCX170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基于参数化技术的传统广作家具再设计研究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张佳琦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2021WQNCX171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珠三角上市企业技术创新及其影响因素研究——基于研发投入与专利产出的视角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刘晓丽</w:t>
            </w:r>
          </w:p>
        </w:tc>
      </w:tr>
    </w:tbl>
    <w:p>
      <w:pPr>
        <w:spacing w:before="256" w:line="187" w:lineRule="auto"/>
        <w:ind w:left="298"/>
        <w:rPr>
          <w:rFonts w:ascii="仿宋" w:hAnsi="仿宋" w:eastAsia="仿宋" w:cs="仿宋"/>
          <w:spacing w:val="7"/>
          <w:sz w:val="20"/>
          <w:szCs w:val="20"/>
        </w:rPr>
      </w:pPr>
      <w:bookmarkStart w:id="0" w:name="_GoBack"/>
      <w:bookmarkEnd w:id="0"/>
    </w:p>
    <w:sectPr>
      <w:pgSz w:w="11906" w:h="16839"/>
      <w:pgMar w:top="1431" w:right="1157" w:bottom="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dlMzUxYWYyYjNmZGVkZDUwNDFkNGY5MzBmZmM2MWUifQ=="/>
  </w:docVars>
  <w:rsids>
    <w:rsidRoot w:val="00000000"/>
    <w:rsid w:val="09976EE0"/>
    <w:rsid w:val="221042EE"/>
    <w:rsid w:val="412F4856"/>
    <w:rsid w:val="66C0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2022-11-11T15:50:00Z</dcterms:created>
  <dc:creator>王晓宇</dc:creator>
  <cp:lastModifiedBy>王晓宇</cp:lastModifiedBy>
  <dcterms:modified xsi:type="dcterms:W3CDTF">2023-10-26T09:33:42Z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2023-05-05T15:26:59Z</vt:filetime>
  </property>
  <property fmtid="{D5CDD505-2E9C-101B-9397-08002B2CF9AE}" pid="4" name="KSOProductBuildVer">
    <vt:lpwstr>2052-12.1.0.15398</vt:lpwstr>
  </property>
  <property fmtid="{D5CDD505-2E9C-101B-9397-08002B2CF9AE}" pid="5" name="ICV">
    <vt:lpwstr>C5EC9B4BF2D84B8D94AE81BB9772D6AD_12</vt:lpwstr>
  </property>
</Properties>
</file>