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00" w:lineRule="exact"/>
        <w:jc w:val="left"/>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附件1</w:t>
      </w:r>
    </w:p>
    <w:p>
      <w:pPr>
        <w:pStyle w:val="3"/>
        <w:spacing w:before="0" w:after="163" w:afterLines="50" w:line="500" w:lineRule="exact"/>
        <w:rPr>
          <w:rFonts w:ascii="宋体" w:hAnsi="宋体" w:eastAsia="宋体"/>
          <w:color w:val="000000" w:themeColor="text1"/>
          <w:szCs w:val="32"/>
          <w14:textFill>
            <w14:solidFill>
              <w14:schemeClr w14:val="tx1"/>
            </w14:solidFill>
          </w14:textFill>
        </w:rPr>
      </w:pPr>
      <w:bookmarkStart w:id="1" w:name="_GoBack"/>
      <w:r>
        <w:rPr>
          <w:rFonts w:hint="eastAsia" w:ascii="宋体" w:hAnsi="宋体" w:eastAsia="宋体"/>
          <w:color w:val="000000" w:themeColor="text1"/>
          <w:szCs w:val="32"/>
          <w14:textFill>
            <w14:solidFill>
              <w14:schemeClr w14:val="tx1"/>
            </w14:solidFill>
          </w14:textFill>
        </w:rPr>
        <w:t>中国高校产学研创新基金-正保项目(二期)申请指南说明</w:t>
      </w:r>
    </w:p>
    <w:bookmarkEnd w:id="1"/>
    <w:p>
      <w:pPr>
        <w:spacing w:before="0" w:after="0" w:line="500" w:lineRule="exact"/>
        <w:ind w:firstLine="480"/>
        <w:rPr>
          <w:rFonts w:ascii="宋体" w:hAnsi="宋体"/>
          <w:sz w:val="24"/>
          <w:szCs w:val="24"/>
        </w:rPr>
      </w:pPr>
      <w:r>
        <w:rPr>
          <w:rFonts w:hint="eastAsia" w:ascii="宋体" w:hAnsi="宋体"/>
          <w:sz w:val="24"/>
          <w:szCs w:val="24"/>
        </w:rPr>
        <w:t>根据 《关于申报2023年中国高校产学研创新基金的通知》(教科发中心函〔2023〕3号)的相关要求，教育部高等学校科学研究发展中心与北京东大正保科技有限公司、厦门网中网软件有限公司联合设立“正保项目(二期)”，用以支持高校在会计、审计、税务、电商等专业领域引入大数据、人工智能、云计算</w:t>
      </w:r>
      <w:r>
        <w:rPr>
          <w:rFonts w:ascii="宋体" w:hAnsi="宋体"/>
          <w:sz w:val="24"/>
          <w:szCs w:val="24"/>
        </w:rPr>
        <w:t>、</w:t>
      </w:r>
      <w:r>
        <w:rPr>
          <w:rFonts w:hint="eastAsia" w:ascii="宋体" w:hAnsi="宋体"/>
          <w:sz w:val="24"/>
          <w:szCs w:val="24"/>
        </w:rPr>
        <w:t>知识图谱等新技术，开展“财务共享”、“RPA机器人”、“业财融合”、“大数据财务分析”、“智能财务”、“智能审计”、“智慧税务”、“数字电商”、“数商兴农”等方向的科研、教学改革与实践创新研究。</w:t>
      </w:r>
    </w:p>
    <w:p>
      <w:pPr>
        <w:pStyle w:val="4"/>
        <w:spacing w:before="0" w:beforeLines="0" w:line="500" w:lineRule="exact"/>
        <w:ind w:left="0" w:firstLine="560" w:firstLineChars="200"/>
      </w:pPr>
      <w:r>
        <w:rPr>
          <w:rFonts w:hint="eastAsia"/>
        </w:rPr>
        <w:t>课题方向</w:t>
      </w:r>
    </w:p>
    <w:p>
      <w:pPr>
        <w:spacing w:before="0" w:after="0" w:line="500" w:lineRule="exact"/>
        <w:ind w:firstLine="480"/>
        <w:rPr>
          <w:rFonts w:ascii="宋体" w:hAnsi="宋体"/>
          <w:sz w:val="24"/>
          <w:szCs w:val="24"/>
        </w:rPr>
      </w:pPr>
      <w:r>
        <w:rPr>
          <w:rFonts w:hint="eastAsia" w:ascii="宋体" w:hAnsi="宋体"/>
          <w:sz w:val="24"/>
          <w:szCs w:val="24"/>
        </w:rPr>
        <w:t>1.“正保项目(二期</w:t>
      </w:r>
      <w:r>
        <w:rPr>
          <w:rFonts w:ascii="宋体" w:hAnsi="宋体"/>
          <w:sz w:val="24"/>
          <w:szCs w:val="24"/>
        </w:rPr>
        <w:t>)</w:t>
      </w:r>
      <w:r>
        <w:rPr>
          <w:rFonts w:hint="eastAsia" w:ascii="宋体" w:hAnsi="宋体"/>
          <w:sz w:val="24"/>
          <w:szCs w:val="24"/>
        </w:rPr>
        <w:t>”旨在通过大数据、人工智能、云计算</w:t>
      </w:r>
      <w:r>
        <w:rPr>
          <w:rFonts w:ascii="宋体" w:hAnsi="宋体"/>
          <w:sz w:val="24"/>
          <w:szCs w:val="24"/>
        </w:rPr>
        <w:t>、</w:t>
      </w:r>
      <w:r>
        <w:rPr>
          <w:rFonts w:hint="eastAsia" w:ascii="宋体" w:hAnsi="宋体"/>
          <w:sz w:val="24"/>
          <w:szCs w:val="24"/>
        </w:rPr>
        <w:t>知识图谱等新技术融合相关的财经、电商类专业科研课题研究，为“财务共享”、“RPA机器人”、“业财融合”、“大数据财务分析”、“智能财务”、“智能审计”、“智慧税务”、“数字电商”、“数商兴农”等方向的科学研究、教学实践以及学科创新提供支持和服务。</w:t>
      </w:r>
    </w:p>
    <w:p>
      <w:pPr>
        <w:spacing w:before="0" w:after="0" w:line="500" w:lineRule="exact"/>
        <w:ind w:firstLine="480"/>
        <w:rPr>
          <w:rFonts w:ascii="宋体" w:hAnsi="宋体"/>
          <w:sz w:val="24"/>
          <w:szCs w:val="24"/>
        </w:rPr>
      </w:pPr>
      <w:r>
        <w:rPr>
          <w:rFonts w:ascii="宋体" w:hAnsi="宋体"/>
          <w:sz w:val="24"/>
          <w:szCs w:val="24"/>
        </w:rPr>
        <w:t>2.“</w:t>
      </w:r>
      <w:r>
        <w:rPr>
          <w:rFonts w:hint="eastAsia" w:ascii="宋体" w:hAnsi="宋体"/>
          <w:sz w:val="24"/>
          <w:szCs w:val="24"/>
        </w:rPr>
        <w:t>正保项目(二期)”</w:t>
      </w:r>
      <w:r>
        <w:rPr>
          <w:rFonts w:hint="eastAsia" w:ascii="宋体" w:hAnsi="宋体"/>
          <w:kern w:val="24"/>
          <w:sz w:val="24"/>
          <w:szCs w:val="24"/>
        </w:rPr>
        <w:t>的申请截止时间为202</w:t>
      </w:r>
      <w:r>
        <w:rPr>
          <w:rFonts w:ascii="宋体" w:hAnsi="宋体"/>
          <w:kern w:val="24"/>
          <w:sz w:val="24"/>
          <w:szCs w:val="24"/>
        </w:rPr>
        <w:t>4</w:t>
      </w:r>
      <w:r>
        <w:rPr>
          <w:rFonts w:hint="eastAsia" w:ascii="宋体" w:hAnsi="宋体"/>
          <w:kern w:val="24"/>
          <w:sz w:val="24"/>
          <w:szCs w:val="24"/>
        </w:rPr>
        <w:t>年</w:t>
      </w:r>
      <w:r>
        <w:rPr>
          <w:rFonts w:ascii="宋体" w:hAnsi="宋体"/>
          <w:kern w:val="24"/>
          <w:sz w:val="24"/>
          <w:szCs w:val="24"/>
        </w:rPr>
        <w:t>4月30日</w:t>
      </w:r>
      <w:r>
        <w:rPr>
          <w:rFonts w:hint="eastAsia" w:ascii="宋体" w:hAnsi="宋体"/>
          <w:kern w:val="24"/>
          <w:sz w:val="24"/>
          <w:szCs w:val="24"/>
        </w:rPr>
        <w:t>。</w:t>
      </w:r>
      <w:r>
        <w:rPr>
          <w:rFonts w:hint="eastAsia" w:ascii="宋体" w:hAnsi="宋体"/>
          <w:sz w:val="24"/>
          <w:szCs w:val="24"/>
        </w:rPr>
        <w:t>计划执行时间为</w:t>
      </w:r>
      <w:r>
        <w:rPr>
          <w:rFonts w:ascii="宋体" w:hAnsi="宋体"/>
          <w:sz w:val="24"/>
          <w:szCs w:val="24"/>
        </w:rPr>
        <w:t>202</w:t>
      </w:r>
      <w:r>
        <w:rPr>
          <w:rFonts w:ascii="宋体" w:hAnsi="宋体"/>
          <w:bCs/>
          <w:sz w:val="24"/>
          <w:szCs w:val="24"/>
        </w:rPr>
        <w:t>4</w:t>
      </w:r>
      <w:r>
        <w:rPr>
          <w:rFonts w:hint="eastAsia" w:ascii="宋体" w:hAnsi="宋体"/>
          <w:sz w:val="24"/>
          <w:szCs w:val="24"/>
        </w:rPr>
        <w:t>年1</w:t>
      </w:r>
      <w:r>
        <w:rPr>
          <w:rFonts w:ascii="宋体" w:hAnsi="宋体"/>
          <w:sz w:val="24"/>
          <w:szCs w:val="24"/>
        </w:rPr>
        <w:t>0</w:t>
      </w:r>
      <w:r>
        <w:rPr>
          <w:rFonts w:hint="eastAsia" w:ascii="宋体" w:hAnsi="宋体"/>
          <w:sz w:val="24"/>
          <w:szCs w:val="24"/>
        </w:rPr>
        <w:t>月</w:t>
      </w:r>
      <w:r>
        <w:rPr>
          <w:rFonts w:ascii="宋体" w:hAnsi="宋体"/>
          <w:sz w:val="24"/>
          <w:szCs w:val="24"/>
        </w:rPr>
        <w:t>1日～202</w:t>
      </w:r>
      <w:r>
        <w:rPr>
          <w:rFonts w:ascii="宋体" w:hAnsi="宋体"/>
          <w:bCs/>
          <w:sz w:val="24"/>
          <w:szCs w:val="24"/>
        </w:rPr>
        <w:t>5</w:t>
      </w:r>
      <w:r>
        <w:rPr>
          <w:rFonts w:hint="eastAsia" w:ascii="宋体" w:hAnsi="宋体"/>
          <w:sz w:val="24"/>
          <w:szCs w:val="24"/>
        </w:rPr>
        <w:t>年</w:t>
      </w:r>
      <w:r>
        <w:rPr>
          <w:rFonts w:ascii="宋体" w:hAnsi="宋体"/>
          <w:bCs/>
          <w:sz w:val="24"/>
          <w:szCs w:val="24"/>
        </w:rPr>
        <w:t>9</w:t>
      </w:r>
      <w:r>
        <w:rPr>
          <w:rFonts w:hint="eastAsia" w:ascii="宋体" w:hAnsi="宋体"/>
          <w:sz w:val="24"/>
          <w:szCs w:val="24"/>
        </w:rPr>
        <w:t>月</w:t>
      </w:r>
      <w:r>
        <w:rPr>
          <w:rFonts w:ascii="宋体" w:hAnsi="宋体"/>
          <w:bCs/>
          <w:sz w:val="24"/>
          <w:szCs w:val="24"/>
        </w:rPr>
        <w:t>30</w:t>
      </w:r>
      <w:r>
        <w:rPr>
          <w:rFonts w:hint="eastAsia" w:ascii="宋体" w:hAnsi="宋体"/>
          <w:sz w:val="24"/>
          <w:szCs w:val="24"/>
        </w:rPr>
        <w:t>日，可根据课题复杂程度适度延长执行周期。</w:t>
      </w:r>
    </w:p>
    <w:p>
      <w:pPr>
        <w:spacing w:before="0" w:after="0" w:line="500" w:lineRule="exact"/>
        <w:ind w:firstLine="480"/>
        <w:rPr>
          <w:rFonts w:ascii="宋体" w:hAnsi="宋体"/>
          <w:sz w:val="24"/>
          <w:szCs w:val="24"/>
        </w:rPr>
      </w:pPr>
      <w:r>
        <w:rPr>
          <w:rFonts w:ascii="宋体" w:hAnsi="宋体"/>
          <w:sz w:val="24"/>
          <w:szCs w:val="24"/>
        </w:rPr>
        <w:t>2</w:t>
      </w:r>
      <w:r>
        <w:rPr>
          <w:rFonts w:hint="eastAsia" w:ascii="宋体" w:hAnsi="宋体"/>
          <w:sz w:val="24"/>
          <w:szCs w:val="24"/>
        </w:rPr>
        <w:t>.</w:t>
      </w:r>
      <w:r>
        <w:rPr>
          <w:rFonts w:hint="eastAsia" w:ascii="宋体" w:hAnsi="宋体"/>
          <w:color w:val="000000"/>
          <w:sz w:val="24"/>
          <w:szCs w:val="24"/>
        </w:rPr>
        <w:t>“正保项目(二期)”为每个课题提供总经费为</w:t>
      </w:r>
      <w:r>
        <w:rPr>
          <w:rFonts w:ascii="宋体" w:hAnsi="宋体"/>
          <w:color w:val="000000"/>
          <w:sz w:val="24"/>
          <w:szCs w:val="24"/>
        </w:rPr>
        <w:t>10</w:t>
      </w:r>
      <w:r>
        <w:rPr>
          <w:rFonts w:hint="eastAsia" w:ascii="宋体" w:hAnsi="宋体"/>
          <w:color w:val="000000"/>
          <w:sz w:val="24"/>
          <w:szCs w:val="24"/>
        </w:rPr>
        <w:t>万元至</w:t>
      </w:r>
      <w:r>
        <w:rPr>
          <w:rFonts w:ascii="宋体" w:hAnsi="宋体"/>
          <w:color w:val="000000"/>
          <w:sz w:val="24"/>
          <w:szCs w:val="24"/>
        </w:rPr>
        <w:t>30</w:t>
      </w:r>
      <w:r>
        <w:rPr>
          <w:rFonts w:hint="eastAsia" w:ascii="宋体" w:hAnsi="宋体"/>
          <w:color w:val="000000"/>
          <w:sz w:val="24"/>
          <w:szCs w:val="24"/>
        </w:rPr>
        <w:t>万元的课题经费及科研软硬件平台支持，其中课题经费5万元至</w:t>
      </w:r>
      <w:r>
        <w:rPr>
          <w:rFonts w:ascii="宋体" w:hAnsi="宋体"/>
          <w:color w:val="000000"/>
          <w:sz w:val="24"/>
          <w:szCs w:val="24"/>
        </w:rPr>
        <w:t>15</w:t>
      </w:r>
      <w:r>
        <w:rPr>
          <w:rFonts w:hint="eastAsia" w:ascii="宋体" w:hAnsi="宋体"/>
          <w:color w:val="000000"/>
          <w:sz w:val="24"/>
          <w:szCs w:val="24"/>
        </w:rPr>
        <w:t>万元。</w:t>
      </w:r>
    </w:p>
    <w:p>
      <w:pPr>
        <w:spacing w:before="0" w:after="0" w:line="500" w:lineRule="exact"/>
        <w:ind w:firstLine="480"/>
        <w:rPr>
          <w:rFonts w:ascii="宋体" w:hAnsi="宋体"/>
          <w:sz w:val="24"/>
          <w:szCs w:val="24"/>
        </w:rPr>
      </w:pPr>
      <w:r>
        <w:rPr>
          <w:rFonts w:ascii="宋体" w:hAnsi="宋体"/>
          <w:color w:val="auto"/>
          <w:sz w:val="24"/>
          <w:szCs w:val="24"/>
        </w:rPr>
        <w:t>3</w:t>
      </w:r>
      <w:r>
        <w:rPr>
          <w:rFonts w:hint="eastAsia" w:ascii="宋体" w:hAnsi="宋体"/>
          <w:color w:val="auto"/>
          <w:sz w:val="24"/>
          <w:szCs w:val="24"/>
        </w:rPr>
        <w:t>.</w:t>
      </w:r>
      <w:r>
        <w:rPr>
          <w:rFonts w:hint="eastAsia" w:ascii="宋体" w:hAnsi="宋体" w:cs="Arial"/>
          <w:sz w:val="24"/>
          <w:szCs w:val="24"/>
          <w:shd w:val="clear" w:color="auto" w:fill="FFFFFF"/>
        </w:rPr>
        <w:t xml:space="preserve"> 正保项目(二期)”</w:t>
      </w:r>
      <w:r>
        <w:rPr>
          <w:rFonts w:hint="eastAsia" w:ascii="宋体" w:hAnsi="宋体"/>
          <w:sz w:val="24"/>
          <w:szCs w:val="24"/>
        </w:rPr>
        <w:t>的选题方向见表一、</w:t>
      </w:r>
      <w:r>
        <w:rPr>
          <w:rFonts w:ascii="宋体" w:hAnsi="宋体"/>
          <w:sz w:val="24"/>
          <w:szCs w:val="24"/>
        </w:rPr>
        <w:t>表二</w:t>
      </w:r>
      <w:r>
        <w:rPr>
          <w:rFonts w:hint="eastAsia" w:ascii="宋体" w:hAnsi="宋体"/>
          <w:sz w:val="24"/>
          <w:szCs w:val="24"/>
        </w:rPr>
        <w:t>，可选科研软硬件平台见表三。</w:t>
      </w:r>
    </w:p>
    <w:p>
      <w:pPr>
        <w:spacing w:before="0" w:after="0" w:line="500" w:lineRule="exact"/>
        <w:ind w:firstLine="0" w:firstLineChars="0"/>
        <w:jc w:val="center"/>
        <w:rPr>
          <w:b/>
          <w:sz w:val="24"/>
          <w:szCs w:val="24"/>
        </w:rPr>
      </w:pPr>
      <w:r>
        <w:rPr>
          <w:rFonts w:hint="eastAsia"/>
          <w:b/>
          <w:sz w:val="24"/>
          <w:szCs w:val="24"/>
        </w:rPr>
        <w:t>表一  “数智化科研试点方向”选题列表</w:t>
      </w:r>
    </w:p>
    <w:tbl>
      <w:tblPr>
        <w:tblStyle w:val="3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9"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方向编号</w:t>
            </w:r>
          </w:p>
        </w:tc>
        <w:tc>
          <w:tcPr>
            <w:tcW w:w="1701"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课题方向</w:t>
            </w:r>
          </w:p>
        </w:tc>
        <w:tc>
          <w:tcPr>
            <w:tcW w:w="6804"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A01</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基于AI技术的智能财务决策模型设计研究试点</w:t>
            </w:r>
          </w:p>
        </w:tc>
        <w:tc>
          <w:tcPr>
            <w:tcW w:w="6804" w:type="dxa"/>
            <w:vAlign w:val="center"/>
          </w:tcPr>
          <w:p>
            <w:pPr>
              <w:tabs>
                <w:tab w:val="left" w:pos="615"/>
              </w:tabs>
              <w:spacing w:before="0" w:after="0" w:line="300" w:lineRule="exact"/>
              <w:ind w:firstLine="400"/>
              <w:rPr>
                <w:rFonts w:ascii="宋体" w:hAnsi="宋体"/>
                <w:sz w:val="20"/>
              </w:rPr>
            </w:pPr>
            <w:r>
              <w:rPr>
                <w:rFonts w:hint="eastAsia" w:ascii="宋体" w:hAnsi="宋体"/>
                <w:sz w:val="20"/>
              </w:rPr>
              <w:t>基于AI技术强大的信息处理和归纳、总结、演绎等能力，解决企业财务数字化转型中决策分析的难题。对大模型AI进行应用集成，根据企业数字化经营中瞬息万变的企业数据与宏观环境，引导AI提出各项财务决策模型的解决方案，并在企业数字化经营虚拟仿真中得到决策验证。校方</w:t>
            </w:r>
            <w:r>
              <w:rPr>
                <w:rFonts w:hint="eastAsia"/>
                <w:sz w:val="20"/>
              </w:rPr>
              <w:t>配套资源推进研究成果试点运行，校企共同推进产业孵化及推广。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A02</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基于低代码平台的业财融合数字化管理系统设计研究试点</w:t>
            </w:r>
          </w:p>
        </w:tc>
        <w:tc>
          <w:tcPr>
            <w:tcW w:w="6804" w:type="dxa"/>
            <w:vAlign w:val="center"/>
          </w:tcPr>
          <w:p>
            <w:pPr>
              <w:tabs>
                <w:tab w:val="left" w:pos="615"/>
              </w:tabs>
              <w:spacing w:before="0" w:after="0" w:line="300" w:lineRule="exact"/>
              <w:ind w:firstLine="400"/>
              <w:rPr>
                <w:rFonts w:ascii="宋体" w:hAnsi="宋体"/>
                <w:sz w:val="20"/>
              </w:rPr>
            </w:pPr>
            <w:r>
              <w:rPr>
                <w:rFonts w:hint="eastAsia" w:ascii="宋体" w:hAnsi="宋体"/>
                <w:sz w:val="20"/>
              </w:rPr>
              <w:t>基于</w:t>
            </w:r>
            <w:r>
              <w:rPr>
                <w:rFonts w:ascii="宋体" w:hAnsi="宋体"/>
                <w:sz w:val="20"/>
              </w:rPr>
              <w:t>低代码平台对各项系统进行低代码化和模块化开发的技术体系，减少开发时间，提高开发效率。采用Spring Boot技术，支持多种不同的部署方案</w:t>
            </w:r>
            <w:r>
              <w:rPr>
                <w:rFonts w:hint="eastAsia" w:ascii="宋体" w:hAnsi="宋体"/>
                <w:sz w:val="20"/>
              </w:rPr>
              <w:t>，</w:t>
            </w:r>
            <w:r>
              <w:rPr>
                <w:rFonts w:ascii="宋体" w:hAnsi="宋体"/>
                <w:sz w:val="20"/>
              </w:rPr>
              <w:t>满足系统设计对灵活性的要求。</w:t>
            </w:r>
            <w:r>
              <w:rPr>
                <w:rFonts w:hint="eastAsia" w:ascii="宋体" w:hAnsi="宋体"/>
                <w:sz w:val="20"/>
              </w:rPr>
              <w:t>借助</w:t>
            </w:r>
            <w:r>
              <w:rPr>
                <w:rFonts w:ascii="宋体" w:hAnsi="宋体"/>
                <w:sz w:val="20"/>
              </w:rPr>
              <w:t>低代码平台建模技术，将各项功能搭建成独立化的模型和模块，进行可视化配置</w:t>
            </w:r>
            <w:r>
              <w:rPr>
                <w:rFonts w:hint="eastAsia" w:ascii="宋体" w:hAnsi="宋体"/>
                <w:sz w:val="20"/>
              </w:rPr>
              <w:t>，</w:t>
            </w:r>
            <w:r>
              <w:rPr>
                <w:rFonts w:ascii="宋体" w:hAnsi="宋体"/>
                <w:sz w:val="20"/>
              </w:rPr>
              <w:t>结合业财信息融通需求，促进业务和财务相关系统对接，积极打造集成化、统一化的</w:t>
            </w:r>
            <w:r>
              <w:rPr>
                <w:rFonts w:hint="eastAsia" w:ascii="宋体" w:hAnsi="宋体"/>
                <w:sz w:val="20"/>
              </w:rPr>
              <w:t>数字</w:t>
            </w:r>
            <w:r>
              <w:rPr>
                <w:rFonts w:ascii="宋体" w:hAnsi="宋体"/>
                <w:sz w:val="20"/>
              </w:rPr>
              <w:t>化管理</w:t>
            </w:r>
            <w:r>
              <w:rPr>
                <w:rFonts w:hint="eastAsia" w:ascii="宋体" w:hAnsi="宋体"/>
                <w:sz w:val="20"/>
              </w:rPr>
              <w:t>系统</w:t>
            </w:r>
            <w:r>
              <w:rPr>
                <w:rFonts w:ascii="宋体" w:hAnsi="宋体"/>
                <w:sz w:val="20"/>
              </w:rPr>
              <w:t>，使各部门信息更高效地互通互联，不断完善和优化与业财融合需求相符的信息共享</w:t>
            </w:r>
            <w:r>
              <w:rPr>
                <w:rFonts w:hint="eastAsia" w:ascii="宋体" w:hAnsi="宋体"/>
                <w:sz w:val="20"/>
              </w:rPr>
              <w:t>管理系统</w:t>
            </w:r>
            <w:r>
              <w:rPr>
                <w:rFonts w:ascii="宋体" w:hAnsi="宋体"/>
                <w:sz w:val="20"/>
              </w:rPr>
              <w:t>。</w:t>
            </w:r>
            <w:r>
              <w:rPr>
                <w:rFonts w:hint="eastAsia" w:ascii="宋体" w:hAnsi="宋体"/>
                <w:sz w:val="20"/>
              </w:rPr>
              <w:t>校方</w:t>
            </w:r>
            <w:r>
              <w:rPr>
                <w:rFonts w:hint="eastAsia"/>
                <w:sz w:val="20"/>
              </w:rPr>
              <w:t>配套资源推进研究成果试点运行，校企共同推进产业孵化及推广。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A03</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数字化内部控制系统设计研究试点</w:t>
            </w:r>
          </w:p>
        </w:tc>
        <w:tc>
          <w:tcPr>
            <w:tcW w:w="6804" w:type="dxa"/>
          </w:tcPr>
          <w:p>
            <w:pPr>
              <w:spacing w:before="0" w:after="0" w:line="300" w:lineRule="exact"/>
              <w:ind w:firstLine="400"/>
              <w:rPr>
                <w:rFonts w:ascii="宋体" w:hAnsi="宋体"/>
                <w:sz w:val="20"/>
              </w:rPr>
            </w:pPr>
            <w:r>
              <w:rPr>
                <w:rFonts w:hint="eastAsia" w:ascii="宋体" w:hAnsi="宋体"/>
                <w:sz w:val="20"/>
              </w:rPr>
              <w:t>聚焦</w:t>
            </w:r>
            <w:r>
              <w:rPr>
                <w:rFonts w:ascii="宋体" w:hAnsi="宋体"/>
                <w:sz w:val="20"/>
              </w:rPr>
              <w:t>财务内控数字化建设和推进会计职能信息化管理，运用现代信息技术手段规范财务核销、优化预算管理、强化资金监督、完善内部控制，提升财务综合管理能力和服务水平，实现财务管理工作数字化、流程化、标准化、系统化管理。以新一代数字技术为支撑，紧密结合实际</w:t>
            </w:r>
            <w:r>
              <w:rPr>
                <w:rFonts w:hint="eastAsia" w:ascii="宋体" w:hAnsi="宋体"/>
                <w:sz w:val="20"/>
              </w:rPr>
              <w:t>需求</w:t>
            </w:r>
            <w:r>
              <w:rPr>
                <w:rFonts w:ascii="宋体" w:hAnsi="宋体"/>
                <w:sz w:val="20"/>
              </w:rPr>
              <w:t>，</w:t>
            </w:r>
            <w:r>
              <w:rPr>
                <w:rFonts w:hint="eastAsia" w:ascii="宋体" w:hAnsi="宋体"/>
                <w:sz w:val="20"/>
              </w:rPr>
              <w:t>将</w:t>
            </w:r>
            <w:r>
              <w:rPr>
                <w:rFonts w:ascii="宋体" w:hAnsi="宋体"/>
                <w:sz w:val="20"/>
              </w:rPr>
              <w:t>支出标准固化其中，</w:t>
            </w:r>
            <w:r>
              <w:rPr>
                <w:rFonts w:hint="eastAsia" w:ascii="宋体" w:hAnsi="宋体"/>
                <w:sz w:val="20"/>
              </w:rPr>
              <w:t>并且</w:t>
            </w:r>
            <w:r>
              <w:rPr>
                <w:rFonts w:ascii="宋体" w:hAnsi="宋体"/>
                <w:sz w:val="20"/>
              </w:rPr>
              <w:t>把政策文件以知识库的形式，根据支出要素智能匹配政策条款，让每一项标准有政策依据、显式提醒。在顶层设计的基础上，</w:t>
            </w:r>
            <w:r>
              <w:rPr>
                <w:rFonts w:hint="eastAsia" w:ascii="宋体" w:hAnsi="宋体"/>
                <w:sz w:val="20"/>
              </w:rPr>
              <w:t>设计研究</w:t>
            </w:r>
            <w:r>
              <w:rPr>
                <w:rFonts w:ascii="宋体" w:hAnsi="宋体"/>
                <w:sz w:val="20"/>
              </w:rPr>
              <w:t>数字化</w:t>
            </w:r>
            <w:r>
              <w:rPr>
                <w:rFonts w:hint="eastAsia" w:ascii="宋体" w:hAnsi="宋体"/>
                <w:sz w:val="20"/>
              </w:rPr>
              <w:t>内部控制</w:t>
            </w:r>
            <w:r>
              <w:rPr>
                <w:rFonts w:ascii="宋体" w:hAnsi="宋体"/>
                <w:sz w:val="20"/>
              </w:rPr>
              <w:t>系统，覆盖预算、收支、资产、核算、工资等经济业务</w:t>
            </w:r>
            <w:r>
              <w:rPr>
                <w:rFonts w:hint="eastAsia" w:ascii="宋体" w:hAnsi="宋体"/>
                <w:sz w:val="20"/>
              </w:rPr>
              <w:t>，</w:t>
            </w:r>
            <w:r>
              <w:rPr>
                <w:rFonts w:ascii="宋体" w:hAnsi="宋体"/>
                <w:sz w:val="20"/>
              </w:rPr>
              <w:t>构建集业务、财务、监督为一体的数字化管控体系。</w:t>
            </w:r>
            <w:r>
              <w:rPr>
                <w:rFonts w:hint="eastAsia" w:ascii="宋体" w:hAnsi="宋体"/>
                <w:sz w:val="20"/>
              </w:rPr>
              <w:t>校方</w:t>
            </w:r>
            <w:r>
              <w:rPr>
                <w:rFonts w:hint="eastAsia"/>
                <w:sz w:val="20"/>
              </w:rPr>
              <w:t>配套资源推进研究成果试点运行，校企共同推进产业孵化及推广。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A04</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基于RPA流程自动化的流程设计与流程优化研究</w:t>
            </w:r>
          </w:p>
        </w:tc>
        <w:tc>
          <w:tcPr>
            <w:tcW w:w="6804" w:type="dxa"/>
          </w:tcPr>
          <w:p>
            <w:pPr>
              <w:spacing w:before="0" w:after="0" w:line="300" w:lineRule="exact"/>
              <w:ind w:firstLine="400"/>
              <w:rPr>
                <w:rFonts w:ascii="宋体" w:hAnsi="宋体"/>
                <w:sz w:val="20"/>
              </w:rPr>
            </w:pPr>
            <w:r>
              <w:rPr>
                <w:rFonts w:hint="eastAsia" w:ascii="宋体" w:hAnsi="宋体"/>
                <w:sz w:val="20"/>
              </w:rPr>
              <w:t>基于财会工作流程化、自动化、智能化，提升工作效率的要求，研究RPA+AI机器人在不同行业、不同企业、不同业务及不同场景中的应用需求、流程设计、开发需求以及发展趋势。应用场景包含但不仅限于：政府采购、登记审批、档案管理、智能派件、经费开支、业务报销、票据管理、资产管理、报表编制、绩效考核与评价等。</w:t>
            </w:r>
          </w:p>
          <w:p>
            <w:pPr>
              <w:spacing w:before="0" w:after="0" w:line="300" w:lineRule="exact"/>
              <w:ind w:firstLine="400"/>
              <w:rPr>
                <w:rFonts w:ascii="宋体" w:hAnsi="宋体"/>
                <w:sz w:val="20"/>
              </w:rPr>
            </w:pPr>
            <w:r>
              <w:rPr>
                <w:rFonts w:hint="eastAsia" w:ascii="宋体" w:hAnsi="宋体"/>
                <w:sz w:val="20"/>
              </w:rPr>
              <w:t>探讨RPA流程自动化的设计方法和优化策略，识别适合自动化的任务和流程，利用RPA工具和平台进行流程自动化设计，对流程执行过程中的数据进行挖掘和分析，发现流程优化的潜在机会，进行持续改进。将研究成果应用于实际企业流程自动化项目中，观察并评估其效果。具体成果应包括但不限于：高效的流程自动化设计方法、关键技术的突破、流程优化的实施方案等。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5</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大数据分析技术在财务领域中的应用研究</w:t>
            </w:r>
          </w:p>
        </w:tc>
        <w:tc>
          <w:tcPr>
            <w:tcW w:w="6804" w:type="dxa"/>
          </w:tcPr>
          <w:p>
            <w:pPr>
              <w:spacing w:before="0" w:after="0" w:line="300" w:lineRule="exact"/>
              <w:ind w:firstLine="400"/>
              <w:rPr>
                <w:rFonts w:ascii="宋体" w:hAnsi="宋体"/>
                <w:sz w:val="20"/>
              </w:rPr>
            </w:pPr>
            <w:r>
              <w:rPr>
                <w:rFonts w:hint="eastAsia" w:ascii="宋体" w:hAnsi="宋体"/>
                <w:sz w:val="20"/>
              </w:rPr>
              <w:t>大数据是未来企业的最重要资源,可视化技术是展现数据成果的重要载体，只有充分挖掘并利用数据的价值,客观、迅速的呈现现象本质，才能为企业做好经营与决策服务。基于企业经营决策管理的要求，研究大数据技术在财务领域中的应用模式和应用场景，侧重财务数据分析技术、财务数字化管理、财务决策支持等重点领域。运用大数据、人工智能等现代信息技术，利用Python程序语言提高挖掘数据能力、整合信息和财务决策及投融资分析的效率效益并降低风险，旨在推动信息技术与财务行业深度融合。</w:t>
            </w:r>
          </w:p>
          <w:p>
            <w:pPr>
              <w:spacing w:before="0" w:after="0" w:line="300" w:lineRule="exact"/>
              <w:ind w:firstLine="400"/>
            </w:pPr>
            <w:r>
              <w:rPr>
                <w:rFonts w:hint="eastAsia" w:ascii="宋体" w:hAnsi="宋体"/>
                <w:sz w:val="20"/>
              </w:rPr>
              <w:t>探讨大数据分析技术在财务领域中的应用，包括财务报表分析、成本控制、预算管理、投资决策等方面的应用。利用大数据分析技术对财务数据进行挖掘和分析，为企业提供更准确、更及时的财务信息和管理建议。将研究成果应用于实际企业财务分析中，观察并评估其效果。具体成果应包括但不限于：大数据分析技术在财务报表分析中的实践方法、关键技术的突破、应用效果的评估等。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6</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大数据分析技术在电商领域中的应用研究</w:t>
            </w:r>
          </w:p>
        </w:tc>
        <w:tc>
          <w:tcPr>
            <w:tcW w:w="6804" w:type="dxa"/>
          </w:tcPr>
          <w:p>
            <w:pPr>
              <w:spacing w:before="0" w:after="0" w:line="300" w:lineRule="exact"/>
              <w:ind w:firstLine="400"/>
              <w:rPr>
                <w:rFonts w:ascii="宋体" w:hAnsi="宋体"/>
                <w:sz w:val="20"/>
              </w:rPr>
            </w:pPr>
            <w:r>
              <w:rPr>
                <w:rFonts w:hint="eastAsia" w:ascii="宋体" w:hAnsi="宋体"/>
                <w:sz w:val="20"/>
              </w:rPr>
              <w:t>大数据分析技术在电商领域中的应用研究，包括但不限于：数据整合与预处理、数据分析与挖掘、精准营销与个性化推荐、竞争分析和市场预测等。例如利用大数据分析技术，对用户进行全方位的分析与客群细分，并根据个性化喜好标签进行数据优化，对目标用户群体进行针对性精准营销，使得企业用户商家为用</w:t>
            </w:r>
            <w:r>
              <w:rPr>
                <w:rFonts w:ascii="宋体" w:hAnsi="宋体"/>
                <w:sz w:val="20"/>
              </w:rPr>
              <w:t>户提供更优质的个性化产品服务，从而提高企业端的经营效率。</w:t>
            </w:r>
            <w:r>
              <w:rPr>
                <w:rFonts w:hint="eastAsia" w:ascii="宋体" w:hAnsi="宋体"/>
                <w:sz w:val="20"/>
              </w:rPr>
              <w:t>探索</w:t>
            </w:r>
            <w:r>
              <w:rPr>
                <w:rFonts w:ascii="宋体" w:hAnsi="宋体"/>
                <w:sz w:val="20"/>
              </w:rPr>
              <w:t>大数据</w:t>
            </w:r>
            <w:r>
              <w:rPr>
                <w:rFonts w:hint="eastAsia" w:ascii="宋体" w:hAnsi="宋体"/>
                <w:sz w:val="20"/>
              </w:rPr>
              <w:t>分析</w:t>
            </w:r>
            <w:r>
              <w:rPr>
                <w:rFonts w:ascii="宋体" w:hAnsi="宋体"/>
                <w:sz w:val="20"/>
              </w:rPr>
              <w:t>技术对</w:t>
            </w:r>
            <w:r>
              <w:rPr>
                <w:rFonts w:hint="eastAsia" w:ascii="宋体" w:hAnsi="宋体"/>
                <w:sz w:val="20"/>
              </w:rPr>
              <w:t>电商领域数据进行</w:t>
            </w:r>
            <w:r>
              <w:rPr>
                <w:rFonts w:ascii="宋体" w:hAnsi="宋体"/>
                <w:sz w:val="20"/>
              </w:rPr>
              <w:t>挖掘与分析，为电商企业提供更深入的洞察和预测，帮助企业做出更明智的决策。</w:t>
            </w:r>
          </w:p>
          <w:p>
            <w:pPr>
              <w:spacing w:before="0" w:after="0" w:line="300" w:lineRule="exact"/>
              <w:ind w:firstLine="400"/>
              <w:rPr>
                <w:rFonts w:ascii="宋体" w:hAnsi="宋体"/>
                <w:sz w:val="20"/>
              </w:rPr>
            </w:pPr>
            <w:r>
              <w:rPr>
                <w:rFonts w:ascii="宋体" w:hAnsi="宋体"/>
                <w:sz w:val="20"/>
              </w:rPr>
              <w:t>探讨大数据分析技术在电商领域中的应用，包括用户画像、精准营销、商品推荐、市场分析等方面的应用。利用大数据分析技术对电商数据进行挖掘和分析，为电商企业提供更准确、更及时的业务洞察和建议。将研究成果应用于实际电商平台中，观察并评估其效果。具体成果应包括但不限于：大数据分析技术在用户画像中的实践方法、关键技术的突破、应用效果的评估等。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7</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企业电子报税智能化设计研究</w:t>
            </w:r>
          </w:p>
        </w:tc>
        <w:tc>
          <w:tcPr>
            <w:tcW w:w="6804" w:type="dxa"/>
          </w:tcPr>
          <w:p>
            <w:pPr>
              <w:spacing w:before="0" w:after="0" w:line="300" w:lineRule="exact"/>
              <w:ind w:firstLine="400"/>
              <w:rPr>
                <w:rFonts w:ascii="宋体" w:hAnsi="宋体"/>
                <w:sz w:val="20"/>
              </w:rPr>
            </w:pPr>
            <w:r>
              <w:rPr>
                <w:rFonts w:hint="eastAsia" w:ascii="宋体" w:hAnsi="宋体"/>
                <w:sz w:val="20"/>
              </w:rPr>
              <w:t>企业电子报税智能化设计旨在提高报税的准确性和效率，降低企业的税务风险，同时减轻税务人员的审核压力。设计研究智能化企业电子报税系统成为税务数字化转型的必然，</w:t>
            </w:r>
            <w:r>
              <w:rPr>
                <w:rFonts w:ascii="宋体" w:hAnsi="宋体"/>
                <w:sz w:val="20"/>
              </w:rPr>
              <w:t>利用人工智能、大数据等技术手段，实现报税流程的自动化和智能化。通过智能化设计，实现对税务申报数据的自动解析、比对和审核，减少人工干预和错误</w:t>
            </w:r>
            <w:r>
              <w:rPr>
                <w:rFonts w:hint="eastAsia" w:ascii="宋体" w:hAnsi="宋体"/>
                <w:sz w:val="20"/>
              </w:rPr>
              <w:t>，</w:t>
            </w:r>
            <w:r>
              <w:rPr>
                <w:rFonts w:ascii="宋体" w:hAnsi="宋体"/>
                <w:sz w:val="20"/>
              </w:rPr>
              <w:t>提供智能化的报税建议和风险提示</w:t>
            </w:r>
            <w:r>
              <w:rPr>
                <w:rFonts w:hint="eastAsia" w:ascii="宋体" w:hAnsi="宋体"/>
                <w:sz w:val="20"/>
              </w:rPr>
              <w:t>。</w:t>
            </w:r>
          </w:p>
          <w:p>
            <w:pPr>
              <w:spacing w:before="0" w:after="0" w:line="300" w:lineRule="exact"/>
              <w:ind w:firstLine="400"/>
              <w:rPr>
                <w:rFonts w:ascii="宋体" w:hAnsi="宋体"/>
                <w:sz w:val="20"/>
              </w:rPr>
            </w:pPr>
            <w:r>
              <w:rPr>
                <w:rFonts w:hint="eastAsia" w:ascii="宋体" w:hAnsi="宋体"/>
                <w:sz w:val="20"/>
              </w:rPr>
              <w:t>通过</w:t>
            </w:r>
            <w:r>
              <w:rPr>
                <w:rFonts w:ascii="宋体" w:hAnsi="宋体"/>
                <w:sz w:val="20"/>
              </w:rPr>
              <w:t>开发出一套完整的电子报税智能化系统，实现自动化和智能化的税务申报和管理。将研究成果应用于实际企业电子报税系统中，观察并评估其效果。具体成果应包括但不限于：智能化设计的实现方法、关键技术的突破、系统的性能和稳定性等方面的研究成果。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8</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企业税务风险防控体系设计研究</w:t>
            </w:r>
          </w:p>
        </w:tc>
        <w:tc>
          <w:tcPr>
            <w:tcW w:w="6804" w:type="dxa"/>
          </w:tcPr>
          <w:p>
            <w:pPr>
              <w:spacing w:before="0" w:after="0" w:line="300" w:lineRule="exact"/>
              <w:ind w:firstLine="400"/>
              <w:rPr>
                <w:rFonts w:ascii="宋体" w:hAnsi="宋体"/>
                <w:sz w:val="20"/>
              </w:rPr>
            </w:pPr>
            <w:r>
              <w:rPr>
                <w:rFonts w:ascii="宋体" w:hAnsi="宋体"/>
                <w:sz w:val="20"/>
              </w:rPr>
              <w:t>企业税务风险不仅可能导致企业被税务机关处罚，还可能影响企业的声誉和经营效益。因此，建立有效的税务风险防控体系对于企业来说至关重要</w:t>
            </w:r>
            <w:r>
              <w:rPr>
                <w:rFonts w:hint="eastAsia" w:ascii="宋体" w:hAnsi="宋体"/>
                <w:sz w:val="20"/>
              </w:rPr>
              <w:t>，设计企业税务风险防控体系的目的在于识别、评估、控制和监控企业面临的税务风险，设计研究包括但不限于：</w:t>
            </w:r>
            <w:r>
              <w:rPr>
                <w:rFonts w:ascii="宋体" w:hAnsi="宋体"/>
                <w:sz w:val="20"/>
              </w:rPr>
              <w:t>建立健全税务管理制度</w:t>
            </w:r>
            <w:r>
              <w:rPr>
                <w:rFonts w:hint="eastAsia" w:ascii="宋体" w:hAnsi="宋体"/>
                <w:sz w:val="20"/>
              </w:rPr>
              <w:t>、</w:t>
            </w:r>
            <w:r>
              <w:rPr>
                <w:rFonts w:ascii="宋体" w:hAnsi="宋体"/>
                <w:sz w:val="20"/>
              </w:rPr>
              <w:t>强化税务风险评估</w:t>
            </w:r>
            <w:r>
              <w:rPr>
                <w:rFonts w:hint="eastAsia" w:ascii="宋体" w:hAnsi="宋体"/>
                <w:sz w:val="20"/>
              </w:rPr>
              <w:t>、</w:t>
            </w:r>
            <w:r>
              <w:rPr>
                <w:rFonts w:ascii="宋体" w:hAnsi="宋体"/>
                <w:sz w:val="20"/>
              </w:rPr>
              <w:t>优化税务筹划</w:t>
            </w:r>
            <w:r>
              <w:rPr>
                <w:rFonts w:hint="eastAsia" w:ascii="宋体" w:hAnsi="宋体"/>
                <w:sz w:val="20"/>
              </w:rPr>
              <w:t>、</w:t>
            </w:r>
            <w:r>
              <w:rPr>
                <w:rFonts w:ascii="宋体" w:hAnsi="宋体"/>
                <w:sz w:val="20"/>
              </w:rPr>
              <w:t>建立内部沟通机制</w:t>
            </w:r>
            <w:r>
              <w:rPr>
                <w:rFonts w:hint="eastAsia" w:ascii="宋体" w:hAnsi="宋体"/>
                <w:sz w:val="20"/>
              </w:rPr>
              <w:t>等。</w:t>
            </w:r>
          </w:p>
          <w:p>
            <w:pPr>
              <w:spacing w:before="0" w:after="0" w:line="300" w:lineRule="exact"/>
              <w:ind w:firstLine="400"/>
              <w:rPr>
                <w:rFonts w:ascii="宋体" w:hAnsi="宋体"/>
                <w:sz w:val="20"/>
              </w:rPr>
            </w:pPr>
            <w:r>
              <w:rPr>
                <w:rFonts w:hint="eastAsia" w:ascii="宋体" w:hAnsi="宋体"/>
                <w:sz w:val="20"/>
              </w:rPr>
              <w:t>构建一套完整的企业税务风险防控体系，利用信息技术建立税务信息管理系统，实现税务信息的收集、整理、分析和报告，提高管理效率。通过数据挖掘技术，从海量的税务数据中提取有价值的信息，为风险评估和决策提供支持。运用人工智能技术进行自动化风险评估和预警，提高风险识别和控制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9</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智能审计系统设计研究</w:t>
            </w:r>
          </w:p>
        </w:tc>
        <w:tc>
          <w:tcPr>
            <w:tcW w:w="6804" w:type="dxa"/>
          </w:tcPr>
          <w:p>
            <w:pPr>
              <w:spacing w:before="0" w:after="0" w:line="300" w:lineRule="exact"/>
              <w:ind w:firstLine="400"/>
              <w:rPr>
                <w:rFonts w:ascii="宋体" w:hAnsi="宋体"/>
                <w:sz w:val="20"/>
              </w:rPr>
            </w:pPr>
            <w:r>
              <w:rPr>
                <w:rFonts w:ascii="宋体" w:hAnsi="宋体"/>
                <w:sz w:val="20"/>
              </w:rPr>
              <w:t>智能审计基于人工智能和大数据技术，对审计数据进行自动分析、比对、归纳和报告</w:t>
            </w:r>
            <w:r>
              <w:rPr>
                <w:rFonts w:hint="eastAsia" w:ascii="宋体" w:hAnsi="宋体"/>
                <w:sz w:val="20"/>
              </w:rPr>
              <w:t>，</w:t>
            </w:r>
            <w:r>
              <w:rPr>
                <w:rFonts w:ascii="宋体" w:hAnsi="宋体"/>
                <w:sz w:val="20"/>
              </w:rPr>
              <w:t>提高审计效率和准确性，降低审计风险，同时还可以自动提取和分析审计证据，提高审计工作的质量。</w:t>
            </w:r>
            <w:r>
              <w:rPr>
                <w:rFonts w:hint="eastAsia" w:ascii="宋体" w:hAnsi="宋体"/>
                <w:sz w:val="20"/>
              </w:rPr>
              <w:t>设计研究包括但不限于：</w:t>
            </w:r>
            <w:r>
              <w:rPr>
                <w:rFonts w:ascii="宋体" w:hAnsi="宋体"/>
                <w:sz w:val="20"/>
              </w:rPr>
              <w:t>数据采集</w:t>
            </w:r>
            <w:r>
              <w:rPr>
                <w:rFonts w:hint="eastAsia" w:ascii="宋体" w:hAnsi="宋体"/>
                <w:sz w:val="20"/>
              </w:rPr>
              <w:t>、</w:t>
            </w:r>
            <w:r>
              <w:rPr>
                <w:rFonts w:ascii="宋体" w:hAnsi="宋体"/>
                <w:sz w:val="20"/>
              </w:rPr>
              <w:t>数据预处理</w:t>
            </w:r>
            <w:r>
              <w:rPr>
                <w:rFonts w:hint="eastAsia" w:ascii="宋体" w:hAnsi="宋体"/>
                <w:sz w:val="20"/>
              </w:rPr>
              <w:t>、</w:t>
            </w:r>
            <w:r>
              <w:rPr>
                <w:rFonts w:ascii="宋体" w:hAnsi="宋体"/>
                <w:sz w:val="20"/>
              </w:rPr>
              <w:t>数据分析</w:t>
            </w:r>
            <w:r>
              <w:rPr>
                <w:rFonts w:hint="eastAsia" w:ascii="宋体" w:hAnsi="宋体"/>
                <w:sz w:val="20"/>
              </w:rPr>
              <w:t>、</w:t>
            </w:r>
            <w:r>
              <w:rPr>
                <w:rFonts w:ascii="宋体" w:hAnsi="宋体"/>
                <w:sz w:val="20"/>
              </w:rPr>
              <w:t>风险评估</w:t>
            </w:r>
            <w:r>
              <w:rPr>
                <w:rFonts w:hint="eastAsia" w:ascii="宋体" w:hAnsi="宋体"/>
                <w:sz w:val="20"/>
              </w:rPr>
              <w:t>、</w:t>
            </w:r>
            <w:r>
              <w:rPr>
                <w:rFonts w:ascii="宋体" w:hAnsi="宋体"/>
                <w:sz w:val="20"/>
              </w:rPr>
              <w:t>报告生成</w:t>
            </w:r>
            <w:r>
              <w:rPr>
                <w:rFonts w:hint="eastAsia" w:ascii="宋体" w:hAnsi="宋体"/>
                <w:sz w:val="20"/>
              </w:rPr>
              <w:t>等。</w:t>
            </w:r>
          </w:p>
          <w:p>
            <w:pPr>
              <w:spacing w:before="0" w:after="0" w:line="300" w:lineRule="exact"/>
              <w:ind w:firstLine="400"/>
              <w:rPr>
                <w:rFonts w:ascii="宋体" w:hAnsi="宋体"/>
                <w:sz w:val="20"/>
              </w:rPr>
            </w:pPr>
            <w:r>
              <w:rPr>
                <w:rFonts w:hint="eastAsia" w:ascii="宋体" w:hAnsi="宋体"/>
                <w:sz w:val="20"/>
              </w:rPr>
              <w:t>开发出一套完整的智能审计系统，实现自动化和智能化的审计分析、比对和报告，研究并掌握一批先进的智能审计技术和方法，如机器学习、深度学习、自然语言处理等，提高在智能审计领域的核心竞争力。通过人工智能技术，包括机器学习、深度学习等技术，用于数据分析和风险评估，通过自然语言处理技术，自动读取和分析文本型数据，如财务报表、会计凭证等，并通过大数据技术，包括数据采集、数据处理、数据存储等技术，用于处理海量的审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w:t>
            </w:r>
            <w:r>
              <w:rPr>
                <w:rFonts w:hint="eastAsia" w:ascii="宋体" w:hAnsi="宋体"/>
                <w:sz w:val="20"/>
              </w:rPr>
              <w:t>10</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数字电商运营系统设计研究</w:t>
            </w:r>
          </w:p>
        </w:tc>
        <w:tc>
          <w:tcPr>
            <w:tcW w:w="6804" w:type="dxa"/>
          </w:tcPr>
          <w:p>
            <w:pPr>
              <w:spacing w:before="0" w:after="0" w:line="300" w:lineRule="exact"/>
              <w:ind w:firstLine="400"/>
              <w:rPr>
                <w:rFonts w:ascii="宋体" w:hAnsi="宋体"/>
                <w:sz w:val="20"/>
              </w:rPr>
            </w:pPr>
            <w:r>
              <w:rPr>
                <w:rFonts w:hint="eastAsia" w:ascii="宋体" w:hAnsi="宋体"/>
                <w:sz w:val="20"/>
              </w:rPr>
              <w:t>数字电商运营利用数字化工具和手段，进行电子商务运营管理、营销推广、客户服务等活动，随着电商行业的蓬勃发展，新一代信息技术也在广泛应用，设计研究包括但不限于：运营管理、营销推广、数据分析和决策支持等。</w:t>
            </w:r>
          </w:p>
          <w:p>
            <w:pPr>
              <w:spacing w:before="0" w:after="0" w:line="300" w:lineRule="exact"/>
              <w:ind w:firstLine="400"/>
            </w:pPr>
            <w:r>
              <w:rPr>
                <w:rFonts w:hint="eastAsia" w:ascii="宋体" w:hAnsi="宋体"/>
                <w:sz w:val="20"/>
              </w:rPr>
              <w:t>开发出一套完整的数字电商运营系统，实现自动化和智能化的电子商务运营管理和营销推广，研究并掌握一批先进的数字电商运营技术和方法，如大数据分析、人工智能、电子商务平台技术等，提高在数字电商运营领域的核心竞争力。通过大数据技术，对用户行为数据进行深入分析和挖掘，提取有价值的信息，优化运营策略。利用人工智能技术，如自然语言处理、机器学习等，提高系统的智能化程度和自动化水平。</w:t>
            </w:r>
          </w:p>
        </w:tc>
      </w:tr>
    </w:tbl>
    <w:p>
      <w:pPr>
        <w:spacing w:before="163" w:beforeLines="50" w:after="0" w:line="500" w:lineRule="exact"/>
        <w:ind w:firstLine="0" w:firstLineChars="0"/>
        <w:jc w:val="center"/>
        <w:rPr>
          <w:b/>
          <w:sz w:val="24"/>
          <w:szCs w:val="24"/>
        </w:rPr>
      </w:pPr>
    </w:p>
    <w:p>
      <w:pPr>
        <w:spacing w:before="163" w:beforeLines="50" w:after="0" w:line="500" w:lineRule="exact"/>
        <w:ind w:firstLine="0" w:firstLineChars="0"/>
        <w:jc w:val="center"/>
        <w:rPr>
          <w:b/>
          <w:sz w:val="24"/>
          <w:szCs w:val="24"/>
        </w:rPr>
      </w:pPr>
      <w:r>
        <w:rPr>
          <w:rFonts w:hint="eastAsia"/>
          <w:b/>
          <w:sz w:val="24"/>
          <w:szCs w:val="24"/>
        </w:rPr>
        <w:t>表二  “数智化教学改革方向”选题列表</w:t>
      </w:r>
    </w:p>
    <w:tbl>
      <w:tblPr>
        <w:tblStyle w:val="3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9"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方向编号</w:t>
            </w:r>
          </w:p>
        </w:tc>
        <w:tc>
          <w:tcPr>
            <w:tcW w:w="1701"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课题方向</w:t>
            </w:r>
          </w:p>
        </w:tc>
        <w:tc>
          <w:tcPr>
            <w:tcW w:w="6804"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B01</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数字经济时代数字教育新技术应用研究</w:t>
            </w:r>
          </w:p>
        </w:tc>
        <w:tc>
          <w:tcPr>
            <w:tcW w:w="6804" w:type="dxa"/>
            <w:vAlign w:val="center"/>
          </w:tcPr>
          <w:p>
            <w:pPr>
              <w:spacing w:before="0" w:after="0" w:line="300" w:lineRule="exact"/>
              <w:ind w:firstLine="400"/>
              <w:rPr>
                <w:rFonts w:ascii="宋体" w:hAnsi="宋体"/>
                <w:sz w:val="20"/>
              </w:rPr>
            </w:pPr>
            <w:r>
              <w:rPr>
                <w:rFonts w:ascii="宋体" w:hAnsi="宋体"/>
                <w:sz w:val="20"/>
              </w:rPr>
              <w:t>随着数字经济的快速发展，数字教育正逐渐成为推动教育进步和发展的重要力量。数字教育以数字技术为支撑，以互联网、移动设备等为载体，实现教育资源的共享和优化配置。数字教育有助于提高教育质量，促进教育公平，满足个性化学习需求，实现教育现代化。设计研究包括但不限于：AI助教、知识图谱和数字人</w:t>
            </w:r>
            <w:r>
              <w:rPr>
                <w:rFonts w:hint="eastAsia" w:ascii="宋体" w:hAnsi="宋体"/>
                <w:sz w:val="20"/>
              </w:rPr>
              <w:t>等</w:t>
            </w:r>
            <w:r>
              <w:rPr>
                <w:rFonts w:ascii="宋体" w:hAnsi="宋体"/>
                <w:sz w:val="20"/>
              </w:rPr>
              <w:t>在数字教育中的应用</w:t>
            </w:r>
          </w:p>
          <w:p>
            <w:pPr>
              <w:spacing w:before="0" w:after="0" w:line="300" w:lineRule="exact"/>
              <w:ind w:firstLine="400"/>
              <w:rPr>
                <w:rFonts w:ascii="宋体" w:hAnsi="宋体"/>
                <w:sz w:val="20"/>
              </w:rPr>
            </w:pPr>
            <w:r>
              <w:rPr>
                <w:rFonts w:hint="eastAsia" w:ascii="宋体" w:hAnsi="宋体"/>
                <w:sz w:val="20"/>
              </w:rPr>
              <w:t>通过研究</w:t>
            </w:r>
            <w:r>
              <w:rPr>
                <w:rFonts w:ascii="宋体" w:hAnsi="宋体"/>
                <w:sz w:val="20"/>
              </w:rPr>
              <w:t>AI助教、知识图谱和数字人等数字教育新技术的结合，实现更加智能化、个性化和高效化的教学模式</w:t>
            </w:r>
            <w:r>
              <w:rPr>
                <w:rFonts w:hint="eastAsia" w:ascii="宋体" w:hAnsi="宋体"/>
                <w:sz w:val="20"/>
              </w:rPr>
              <w:t>，促进优质课程资源库的应用</w:t>
            </w:r>
            <w:r>
              <w:rPr>
                <w:rFonts w:ascii="宋体" w:hAnsi="宋体"/>
                <w:sz w:val="20"/>
              </w:rPr>
              <w:t>。AI助教可以根据学生的学习情况，自动推送适合的学习资源和学习任务，提高学生的学习效果；知识图谱可以帮助学生更加清晰地理解知识之间的关系，提高学习效果；数字人可以作为虚拟教师或者虚拟导游等角色，为学生提供更加生动、形象的学习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B02</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数字经济时代智能财务产教融合人才培养体系研究</w:t>
            </w:r>
          </w:p>
        </w:tc>
        <w:tc>
          <w:tcPr>
            <w:tcW w:w="6804" w:type="dxa"/>
            <w:vAlign w:val="center"/>
          </w:tcPr>
          <w:p>
            <w:pPr>
              <w:spacing w:before="0" w:after="0" w:line="300" w:lineRule="exact"/>
              <w:ind w:firstLine="400"/>
              <w:rPr>
                <w:rFonts w:ascii="宋体" w:hAnsi="宋体"/>
                <w:sz w:val="20"/>
                <w:szCs w:val="22"/>
              </w:rPr>
            </w:pPr>
            <w:r>
              <w:rPr>
                <w:rFonts w:ascii="宋体" w:hAnsi="宋体"/>
                <w:sz w:val="20"/>
                <w:szCs w:val="22"/>
              </w:rPr>
              <w:t>随着数字经济的快速发展，智能财务作为企业数字化转型的核心领域之一</w:t>
            </w:r>
            <w:r>
              <w:rPr>
                <w:rFonts w:hint="eastAsia" w:ascii="宋体" w:hAnsi="宋体"/>
                <w:sz w:val="20"/>
                <w:szCs w:val="22"/>
              </w:rPr>
              <w:t>，正逐渐成为业界关注的焦点。智能财务借助人工智能、大数据、云计算等信息技术，对企业财务数据进行处理和分析，以实现财务管理的数字化、智能化和高效化。研究将产业与教育相结合，以培养适应市场需求的高素质人才为目标的人才培养体系。</w:t>
            </w:r>
          </w:p>
          <w:p>
            <w:pPr>
              <w:spacing w:before="0" w:after="0" w:line="300" w:lineRule="exact"/>
              <w:ind w:firstLine="400"/>
              <w:rPr>
                <w:rFonts w:ascii="宋体" w:hAnsi="宋体"/>
                <w:sz w:val="20"/>
                <w:szCs w:val="22"/>
              </w:rPr>
            </w:pPr>
            <w:r>
              <w:rPr>
                <w:rFonts w:hint="eastAsia" w:ascii="宋体" w:hAnsi="宋体"/>
                <w:sz w:val="20"/>
                <w:szCs w:val="22"/>
              </w:rPr>
              <w:t>通过研究一套适应市场需求的人才培养方案，包括明确的培训目标、合理的课程设置和充足的实践环节。构建智能财务产教融合人才培养课程体系；提出智能财务产教融合人才能力素质模型；开发智能财务产教融合人才培养教学资源库；开展智能财务产教融合人才培养校企合作模式研究与实践，例如产业学院、产业基地、微专业和实验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3</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数字经济时代数字电商产教融合人才培养体系研究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随着数字经济的快速发展，数字电商作为电子商务的重要分支，正逐渐成为市场主流。数字电商借助互联网、移动终端等数字化工具，实现商务活动的数字化、网络化、智能化，降低了企业成本、提高效率、拓展市场，同时也对人才提出了更高的要求。研究将产业与教育相结合，以培养适应市场需求的高素质人才为目标的人才培养体系。</w:t>
            </w:r>
          </w:p>
          <w:p>
            <w:pPr>
              <w:spacing w:before="0" w:after="0" w:line="300" w:lineRule="exact"/>
              <w:ind w:firstLine="400"/>
              <w:rPr>
                <w:rFonts w:ascii="宋体" w:hAnsi="宋体"/>
                <w:sz w:val="20"/>
              </w:rPr>
            </w:pPr>
            <w:r>
              <w:rPr>
                <w:rFonts w:hint="eastAsia" w:ascii="宋体" w:hAnsi="宋体"/>
                <w:sz w:val="20"/>
              </w:rPr>
              <w:t>通过研究一套适应市场需求的人才培养方案，包括明确的培训目标、合理的课程设置和充足的实践环节。</w:t>
            </w:r>
            <w:r>
              <w:rPr>
                <w:rFonts w:hint="eastAsia" w:ascii="宋体" w:hAnsi="宋体"/>
                <w:sz w:val="20"/>
                <w:szCs w:val="22"/>
              </w:rPr>
              <w:t>构建数字电商产教融合人才培养课程体系；提出数字电商产教融合人才能力素质模型；开发数字电商产教融合人才培养教学资源库；开展数字电商产教融合人才培养校企合作模式研究与实践，例如产业学院、产业基地、微专业和实验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4</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现代职业教育体系下数字财经创新人才模式研究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国家持续推进现代职业教育体系建设背景下，数字财经借助互联网、大数据、人工智能等技术，实现财经业务的数字化、智能化。数字财经在财经领域的应用越来越广泛，需要具备扎实的财经知识、熟练的信息技术应用能力和创新思维的高素质人才。研究将产业与教育相结合，以培养适应市场需求的高素质人才为目标的人才模式。</w:t>
            </w:r>
          </w:p>
          <w:p>
            <w:pPr>
              <w:spacing w:before="0" w:after="0" w:line="300" w:lineRule="exact"/>
              <w:ind w:firstLine="400"/>
              <w:rPr>
                <w:rFonts w:ascii="宋体" w:hAnsi="宋体"/>
                <w:sz w:val="20"/>
              </w:rPr>
            </w:pPr>
            <w:r>
              <w:rPr>
                <w:rFonts w:hint="eastAsia" w:ascii="宋体" w:hAnsi="宋体"/>
                <w:sz w:val="20"/>
              </w:rPr>
              <w:t>通过研究一套适应市场需求的人才培养方案，包括明确的培训目标、合理的课程设置和充足的实践环节。构建数字财经创新人才培养课程体系；提出数字财经创新人才能力素质模型；开发数字财经创新人才培养教学资源库；开展数字财经创新人才培养校企合作模式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5</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现代职业教育体系下数字商贸创新人才模式研究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国家持续推进现代职业教育体系建设背景下，探讨数字商贸的内涵、发展趋势、核心技术及应用领域，研究创新人才模式在数字商贸领域的应用，关注人才的创新意识、实践能力、行业前沿知识和技能的培养。探讨如何通过优化课程体系、加强实践教学、引入先进教学方法等途径，提高学生的创新思维和实践能力。</w:t>
            </w:r>
          </w:p>
          <w:p>
            <w:pPr>
              <w:spacing w:before="0" w:after="0" w:line="300" w:lineRule="exact"/>
              <w:ind w:firstLine="400"/>
              <w:rPr>
                <w:rFonts w:ascii="宋体" w:hAnsi="宋体"/>
                <w:sz w:val="20"/>
              </w:rPr>
            </w:pPr>
            <w:r>
              <w:rPr>
                <w:rFonts w:hint="eastAsia" w:ascii="宋体" w:hAnsi="宋体"/>
                <w:sz w:val="20"/>
              </w:rPr>
              <w:t>通过研究一套适应市场需求的人才培养方案，包括明确的培训目标、合理的课程设置和充足的实践环节。构建数字商贸创新人才培养课程体系；提出数字商贸创新人才能力素质模型；开发数字商贸创新人才培养教学资源库；开展数字商贸创新人才培养校企合作模式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6</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产教融合数商兴农乡村振兴模式研究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随着中国乡村振兴战略的深入推进，农业产业转型升级和数字电商发展成为了重要的发展方向。研究数商兴农模式在农业中的应用，探讨如何将电子商务与农业相结合，推动农业数字化转型和升级。分析数商兴农模式对农业效益和农村经济发展的影响及作用，为创新农业经营模式提供理论支持和实践经验。</w:t>
            </w:r>
          </w:p>
          <w:p>
            <w:pPr>
              <w:spacing w:before="0" w:after="0" w:line="300" w:lineRule="exact"/>
              <w:ind w:firstLine="400"/>
              <w:rPr>
                <w:rFonts w:ascii="宋体" w:hAnsi="宋体"/>
                <w:sz w:val="20"/>
              </w:rPr>
            </w:pPr>
            <w:r>
              <w:rPr>
                <w:rFonts w:hint="eastAsia" w:ascii="宋体" w:hAnsi="宋体"/>
                <w:sz w:val="20"/>
              </w:rPr>
              <w:t>通过研究一套适应市场需求的人才培养方案。将研究成果应用于实际教学中，观察并评估其效果。具体成果应包括但不限于：培养目标明确、课程体系合理、实践教学充足、教学方法先进等。同时，将研究成果以论文、专著等形式进行发表和传播，为其他领域的发展提供借鉴和参考。</w:t>
            </w:r>
          </w:p>
        </w:tc>
      </w:tr>
    </w:tbl>
    <w:p>
      <w:pPr>
        <w:spacing w:before="0" w:after="0" w:line="500" w:lineRule="exact"/>
        <w:ind w:firstLine="0" w:firstLineChars="0"/>
      </w:pPr>
    </w:p>
    <w:p>
      <w:pPr>
        <w:pStyle w:val="4"/>
        <w:spacing w:before="0" w:beforeLines="0" w:line="500" w:lineRule="exact"/>
        <w:ind w:left="0" w:firstLine="560" w:firstLineChars="200"/>
      </w:pPr>
      <w:r>
        <w:rPr>
          <w:rFonts w:hint="eastAsia"/>
        </w:rPr>
        <w:t>申报条件和要求</w:t>
      </w:r>
    </w:p>
    <w:p>
      <w:pPr>
        <w:spacing w:before="0" w:after="0" w:line="500" w:lineRule="exact"/>
        <w:ind w:firstLine="480"/>
        <w:rPr>
          <w:rFonts w:ascii="宋体" w:hAnsi="宋体"/>
          <w:sz w:val="24"/>
          <w:szCs w:val="24"/>
        </w:rPr>
      </w:pPr>
      <w:r>
        <w:rPr>
          <w:rFonts w:hint="eastAsia" w:ascii="宋体" w:hAnsi="宋体"/>
          <w:sz w:val="24"/>
          <w:szCs w:val="24"/>
        </w:rPr>
        <w:t>1. 申请人</w:t>
      </w:r>
      <w:r>
        <w:rPr>
          <w:rFonts w:ascii="宋体" w:hAnsi="宋体"/>
          <w:sz w:val="24"/>
          <w:szCs w:val="24"/>
        </w:rPr>
        <w:t>具有较强科研能力，能够独立开展研究和组织开展研究，对所申报课题已具有一定的研究基础</w:t>
      </w:r>
      <w:r>
        <w:rPr>
          <w:rFonts w:hint="eastAsia" w:ascii="宋体" w:hAnsi="宋体"/>
          <w:sz w:val="24"/>
          <w:szCs w:val="24"/>
        </w:rPr>
        <w:t>，能够承担实质性研究工作</w:t>
      </w:r>
      <w:r>
        <w:rPr>
          <w:rFonts w:ascii="宋体" w:hAnsi="宋体"/>
          <w:sz w:val="24"/>
          <w:szCs w:val="24"/>
        </w:rPr>
        <w:t>；</w:t>
      </w:r>
      <w:r>
        <w:rPr>
          <w:rFonts w:hint="eastAsia" w:ascii="宋体" w:hAnsi="宋体"/>
          <w:sz w:val="24"/>
          <w:szCs w:val="24"/>
        </w:rPr>
        <w:t>团队成员在选定的研究课题方向有较好的技术储备，包括与申报课题研究内容相关的研究成果、教材、论文、专利、获奖等。</w:t>
      </w:r>
    </w:p>
    <w:p>
      <w:pPr>
        <w:spacing w:before="0" w:after="0" w:line="500" w:lineRule="exact"/>
        <w:ind w:firstLine="480"/>
        <w:rPr>
          <w:rFonts w:ascii="宋体" w:hAnsi="宋体"/>
          <w:sz w:val="24"/>
          <w:szCs w:val="24"/>
        </w:rPr>
      </w:pPr>
      <w:r>
        <w:rPr>
          <w:rFonts w:hint="eastAsia" w:ascii="宋体" w:hAnsi="宋体"/>
          <w:sz w:val="24"/>
          <w:szCs w:val="24"/>
        </w:rPr>
        <w:t>2. 团队组成合理，分工明确，数量不少于3人，硕士（含）以上研究生可以作为团队成员，但是不得多于教师的数量。课题组成员须征得本人同意并签字确认，否则视为违规申报。</w:t>
      </w:r>
    </w:p>
    <w:p>
      <w:pPr>
        <w:spacing w:before="0" w:after="0" w:line="500" w:lineRule="exact"/>
        <w:ind w:firstLine="480"/>
        <w:rPr>
          <w:rFonts w:ascii="宋体" w:hAnsi="宋体"/>
          <w:sz w:val="24"/>
          <w:szCs w:val="24"/>
        </w:rPr>
      </w:pPr>
      <w:r>
        <w:rPr>
          <w:rFonts w:hint="eastAsia" w:ascii="宋体" w:hAnsi="宋体"/>
          <w:sz w:val="24"/>
          <w:szCs w:val="24"/>
        </w:rPr>
        <w:t>3. 优先支持已经设立相关前沿专业/学科，或已经成立相关研究中心的院校。</w:t>
      </w:r>
    </w:p>
    <w:p>
      <w:pPr>
        <w:spacing w:before="0" w:after="0" w:line="500" w:lineRule="exact"/>
        <w:ind w:firstLine="480"/>
        <w:rPr>
          <w:rFonts w:ascii="宋体" w:hAnsi="宋体"/>
          <w:sz w:val="24"/>
          <w:szCs w:val="24"/>
        </w:rPr>
      </w:pPr>
      <w:r>
        <w:rPr>
          <w:rFonts w:hint="eastAsia" w:ascii="宋体" w:hAnsi="宋体"/>
          <w:sz w:val="24"/>
          <w:szCs w:val="24"/>
        </w:rPr>
        <w:t>4. 优先支持选题方向符合表一、表二要求的课题。</w:t>
      </w:r>
    </w:p>
    <w:p>
      <w:pPr>
        <w:spacing w:before="0" w:after="0" w:line="500" w:lineRule="exact"/>
        <w:ind w:firstLine="480"/>
        <w:rPr>
          <w:rFonts w:ascii="宋体" w:hAnsi="宋体"/>
          <w:sz w:val="24"/>
          <w:szCs w:val="24"/>
        </w:rPr>
      </w:pPr>
      <w:r>
        <w:rPr>
          <w:rFonts w:hint="eastAsia" w:ascii="宋体" w:hAnsi="宋体"/>
          <w:sz w:val="24"/>
          <w:szCs w:val="24"/>
        </w:rPr>
        <w:t>5. 优先支持研究内容有创造性、前瞻性和实用性，有商业化前景的课题。</w:t>
      </w:r>
    </w:p>
    <w:p>
      <w:pPr>
        <w:spacing w:before="0" w:after="0" w:line="500" w:lineRule="exact"/>
        <w:ind w:firstLine="480"/>
        <w:rPr>
          <w:rFonts w:ascii="宋体" w:hAnsi="宋体"/>
          <w:sz w:val="24"/>
          <w:szCs w:val="24"/>
        </w:rPr>
      </w:pPr>
      <w:r>
        <w:rPr>
          <w:rFonts w:hint="eastAsia" w:ascii="宋体" w:hAnsi="宋体"/>
          <w:sz w:val="24"/>
          <w:szCs w:val="24"/>
        </w:rPr>
        <w:t>6. 优先支持有明确研究成果，成果有应用价值，可复制、可推广的课题，不支持纯理论研究。</w:t>
      </w:r>
    </w:p>
    <w:p>
      <w:pPr>
        <w:spacing w:before="0" w:after="0" w:line="500" w:lineRule="exact"/>
        <w:ind w:firstLine="480"/>
        <w:rPr>
          <w:rFonts w:ascii="宋体" w:hAnsi="宋体"/>
          <w:sz w:val="24"/>
          <w:szCs w:val="24"/>
        </w:rPr>
      </w:pPr>
      <w:r>
        <w:rPr>
          <w:rFonts w:hint="eastAsia" w:ascii="宋体" w:hAnsi="宋体"/>
          <w:sz w:val="24"/>
          <w:szCs w:val="24"/>
        </w:rPr>
        <w:t>7. 优先支持研究方向明确，研究内容详实，研究方案完整可行的课题。</w:t>
      </w:r>
    </w:p>
    <w:p>
      <w:pPr>
        <w:spacing w:before="0" w:after="0" w:line="500" w:lineRule="exact"/>
        <w:ind w:firstLine="480"/>
        <w:rPr>
          <w:rFonts w:ascii="宋体" w:hAnsi="宋体"/>
          <w:sz w:val="24"/>
          <w:szCs w:val="24"/>
        </w:rPr>
      </w:pPr>
      <w:r>
        <w:rPr>
          <w:rFonts w:hint="eastAsia" w:ascii="宋体" w:hAnsi="宋体"/>
          <w:sz w:val="24"/>
          <w:szCs w:val="24"/>
        </w:rPr>
        <w:t>8. 优先支持院校对所申报课题有资金、政策、人员和场地等条件支持的课题。</w:t>
      </w:r>
    </w:p>
    <w:p>
      <w:pPr>
        <w:spacing w:before="0" w:after="0" w:line="500" w:lineRule="exact"/>
        <w:ind w:firstLine="480"/>
        <w:rPr>
          <w:rFonts w:ascii="宋体" w:hAnsi="宋体"/>
          <w:sz w:val="24"/>
          <w:szCs w:val="24"/>
        </w:rPr>
      </w:pPr>
      <w:r>
        <w:rPr>
          <w:rFonts w:hint="eastAsia" w:ascii="宋体" w:hAnsi="宋体"/>
          <w:sz w:val="24"/>
          <w:szCs w:val="24"/>
        </w:rPr>
        <w:t>9. 可支持多个院校成立联合课题组，完成较为复杂的研究课题的联合申报和研究。多院校联合申报，须列明不同单位的课题任务。</w:t>
      </w:r>
    </w:p>
    <w:p>
      <w:pPr>
        <w:spacing w:before="0" w:after="0" w:line="500" w:lineRule="exact"/>
        <w:ind w:firstLine="480"/>
        <w:rPr>
          <w:rFonts w:ascii="宋体" w:hAnsi="宋体"/>
          <w:sz w:val="24"/>
          <w:szCs w:val="24"/>
        </w:rPr>
      </w:pPr>
      <w:r>
        <w:rPr>
          <w:rFonts w:hint="eastAsia" w:ascii="宋体" w:hAnsi="宋体"/>
          <w:sz w:val="24"/>
          <w:szCs w:val="24"/>
        </w:rPr>
        <w:t>10.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pPr>
        <w:spacing w:before="0" w:after="0" w:line="500" w:lineRule="exact"/>
        <w:ind w:firstLine="480"/>
        <w:rPr>
          <w:rFonts w:ascii="宋体" w:hAnsi="宋体"/>
          <w:sz w:val="24"/>
          <w:szCs w:val="24"/>
        </w:rPr>
      </w:pPr>
      <w:r>
        <w:rPr>
          <w:rFonts w:hint="eastAsia" w:ascii="宋体" w:hAnsi="宋体"/>
          <w:sz w:val="24"/>
          <w:szCs w:val="24"/>
        </w:rPr>
        <w:t>11.</w:t>
      </w:r>
      <w:r>
        <w:rPr>
          <w:rFonts w:ascii="宋体" w:hAnsi="宋体"/>
          <w:sz w:val="24"/>
          <w:szCs w:val="24"/>
        </w:rPr>
        <w:t>资助课题获得的知识产权由</w:t>
      </w:r>
      <w:r>
        <w:rPr>
          <w:rFonts w:hint="eastAsia" w:ascii="宋体" w:hAnsi="宋体"/>
          <w:sz w:val="24"/>
          <w:szCs w:val="24"/>
        </w:rPr>
        <w:t>北京东大正保科技有限公司、厦门网中网软件有限公司和课题承担单位共同所有。</w:t>
      </w:r>
    </w:p>
    <w:p>
      <w:pPr>
        <w:spacing w:before="0" w:after="0" w:line="500" w:lineRule="exact"/>
        <w:ind w:firstLine="480"/>
        <w:rPr>
          <w:rFonts w:ascii="宋体" w:hAnsi="宋体"/>
          <w:sz w:val="24"/>
          <w:szCs w:val="24"/>
        </w:rPr>
      </w:pPr>
      <w:r>
        <w:rPr>
          <w:rFonts w:hint="eastAsia" w:ascii="宋体" w:hAnsi="宋体"/>
          <w:sz w:val="24"/>
          <w:szCs w:val="24"/>
        </w:rPr>
        <w:t xml:space="preserve">12.课题组需具备可独立支配的课题研究基础软硬件条件。 </w:t>
      </w:r>
    </w:p>
    <w:p>
      <w:pPr>
        <w:spacing w:before="0" w:after="0" w:line="500" w:lineRule="exact"/>
        <w:ind w:firstLine="480"/>
        <w:rPr>
          <w:rFonts w:ascii="宋体" w:hAnsi="宋体"/>
          <w:sz w:val="24"/>
          <w:szCs w:val="24"/>
        </w:rPr>
      </w:pPr>
    </w:p>
    <w:p>
      <w:pPr>
        <w:pStyle w:val="4"/>
        <w:spacing w:before="0" w:beforeLines="0" w:line="500" w:lineRule="exact"/>
        <w:ind w:left="0" w:firstLine="560" w:firstLineChars="200"/>
      </w:pPr>
      <w:r>
        <w:rPr>
          <w:rFonts w:hint="eastAsia"/>
        </w:rPr>
        <w:t>资源及服务</w:t>
      </w:r>
    </w:p>
    <w:p>
      <w:pPr>
        <w:spacing w:before="0" w:after="0" w:line="500" w:lineRule="exact"/>
        <w:ind w:firstLine="480"/>
        <w:rPr>
          <w:rFonts w:ascii="宋体" w:hAnsi="宋体"/>
          <w:sz w:val="24"/>
          <w:szCs w:val="24"/>
        </w:rPr>
      </w:pPr>
      <w:r>
        <w:rPr>
          <w:rFonts w:hint="eastAsia" w:ascii="宋体" w:hAnsi="宋体"/>
          <w:sz w:val="24"/>
          <w:szCs w:val="24"/>
        </w:rPr>
        <w:t>“正保项目(二期</w:t>
      </w:r>
      <w:r>
        <w:rPr>
          <w:rFonts w:ascii="宋体" w:hAnsi="宋体"/>
          <w:sz w:val="24"/>
          <w:szCs w:val="24"/>
        </w:rPr>
        <w:t>)</w:t>
      </w:r>
      <w:r>
        <w:rPr>
          <w:rFonts w:hint="eastAsia" w:ascii="宋体" w:hAnsi="宋体"/>
          <w:sz w:val="24"/>
          <w:szCs w:val="24"/>
        </w:rPr>
        <w:t>”是以厦门网中网软件有限公司提供的教学课程、案例和技术平台（表</w:t>
      </w:r>
      <w:r>
        <w:rPr>
          <w:rFonts w:ascii="宋体" w:hAnsi="宋体"/>
          <w:sz w:val="24"/>
          <w:szCs w:val="24"/>
        </w:rPr>
        <w:t>四</w:t>
      </w:r>
      <w:r>
        <w:rPr>
          <w:rFonts w:hint="eastAsia" w:ascii="宋体" w:hAnsi="宋体"/>
          <w:sz w:val="24"/>
          <w:szCs w:val="24"/>
        </w:rPr>
        <w:t>）等主要工具，以科研、教学改革与实践创新研究为前提，以产业和经济社会发展需求为导向，支持学校依托特色骨干专业（一流专业）</w:t>
      </w:r>
      <w:r>
        <w:rPr>
          <w:rFonts w:ascii="宋体" w:hAnsi="宋体"/>
          <w:sz w:val="24"/>
          <w:szCs w:val="24"/>
        </w:rPr>
        <w:t>开展</w:t>
      </w:r>
      <w:r>
        <w:rPr>
          <w:rFonts w:hint="eastAsia" w:ascii="宋体" w:hAnsi="宋体"/>
          <w:sz w:val="24"/>
          <w:szCs w:val="24"/>
        </w:rPr>
        <w:t>紧密对接教育链、人才链、产业链、创新链的专业教学改革；支持利用大数据、人工智能、云计算</w:t>
      </w:r>
      <w:r>
        <w:rPr>
          <w:rFonts w:ascii="宋体" w:hAnsi="宋体"/>
          <w:sz w:val="24"/>
          <w:szCs w:val="24"/>
        </w:rPr>
        <w:t>、</w:t>
      </w:r>
      <w:r>
        <w:rPr>
          <w:rFonts w:hint="eastAsia" w:ascii="宋体" w:hAnsi="宋体"/>
          <w:sz w:val="24"/>
          <w:szCs w:val="24"/>
        </w:rPr>
        <w:t>知识图谱等新技术在财务领域的应用场景，形成</w:t>
      </w:r>
      <w:r>
        <w:rPr>
          <w:rFonts w:ascii="宋体" w:hAnsi="宋体"/>
          <w:sz w:val="24"/>
          <w:szCs w:val="24"/>
        </w:rPr>
        <w:t>“智能财务”</w:t>
      </w:r>
      <w:r>
        <w:rPr>
          <w:rFonts w:hint="eastAsia" w:ascii="宋体" w:hAnsi="宋体"/>
          <w:sz w:val="24"/>
          <w:szCs w:val="24"/>
        </w:rPr>
        <w:t>、</w:t>
      </w:r>
      <w:r>
        <w:rPr>
          <w:rFonts w:ascii="宋体" w:hAnsi="宋体"/>
          <w:sz w:val="24"/>
          <w:szCs w:val="24"/>
        </w:rPr>
        <w:t>“智能</w:t>
      </w:r>
      <w:r>
        <w:rPr>
          <w:rFonts w:hint="eastAsia" w:ascii="宋体" w:hAnsi="宋体"/>
          <w:sz w:val="24"/>
          <w:szCs w:val="24"/>
        </w:rPr>
        <w:t>审计</w:t>
      </w:r>
      <w:r>
        <w:rPr>
          <w:rFonts w:ascii="宋体" w:hAnsi="宋体"/>
          <w:sz w:val="24"/>
          <w:szCs w:val="24"/>
        </w:rPr>
        <w:t>”</w:t>
      </w:r>
      <w:r>
        <w:rPr>
          <w:rFonts w:hint="eastAsia" w:ascii="宋体" w:hAnsi="宋体"/>
          <w:sz w:val="24"/>
          <w:szCs w:val="24"/>
        </w:rPr>
        <w:t>、</w:t>
      </w:r>
      <w:r>
        <w:rPr>
          <w:rFonts w:ascii="宋体" w:hAnsi="宋体"/>
          <w:sz w:val="24"/>
          <w:szCs w:val="24"/>
        </w:rPr>
        <w:t>“智慧</w:t>
      </w:r>
      <w:r>
        <w:rPr>
          <w:rFonts w:hint="eastAsia" w:ascii="宋体" w:hAnsi="宋体"/>
          <w:sz w:val="24"/>
          <w:szCs w:val="24"/>
        </w:rPr>
        <w:t>税务</w:t>
      </w:r>
      <w:r>
        <w:rPr>
          <w:rFonts w:ascii="宋体" w:hAnsi="宋体"/>
          <w:sz w:val="24"/>
          <w:szCs w:val="24"/>
        </w:rPr>
        <w:t>”</w:t>
      </w:r>
      <w:r>
        <w:rPr>
          <w:rFonts w:hint="eastAsia" w:ascii="宋体" w:hAnsi="宋体"/>
          <w:sz w:val="24"/>
          <w:szCs w:val="24"/>
        </w:rPr>
        <w:t>、“数字电商”、“数字财经”等专业</w:t>
      </w:r>
      <w:r>
        <w:rPr>
          <w:rFonts w:ascii="宋体" w:hAnsi="宋体"/>
          <w:sz w:val="24"/>
          <w:szCs w:val="24"/>
        </w:rPr>
        <w:t>方向</w:t>
      </w:r>
      <w:r>
        <w:rPr>
          <w:rFonts w:hint="eastAsia" w:ascii="宋体" w:hAnsi="宋体"/>
          <w:sz w:val="24"/>
          <w:szCs w:val="24"/>
        </w:rPr>
        <w:t>领域的科研、教学改革与实践创新</w:t>
      </w:r>
      <w:r>
        <w:rPr>
          <w:rFonts w:ascii="宋体" w:hAnsi="宋体"/>
          <w:sz w:val="24"/>
          <w:szCs w:val="24"/>
        </w:rPr>
        <w:t>和管理型人才培养</w:t>
      </w:r>
      <w:r>
        <w:rPr>
          <w:rFonts w:hint="eastAsia" w:ascii="宋体" w:hAnsi="宋体"/>
          <w:sz w:val="24"/>
          <w:szCs w:val="24"/>
        </w:rPr>
        <w:t>研究；探索数智化时代下财经、电商等领域的新技术、新模式、新方法和新流程，构建融合前沿技术与创新理念的科技成果。</w:t>
      </w:r>
    </w:p>
    <w:p>
      <w:pPr>
        <w:spacing w:before="0" w:after="0" w:line="500" w:lineRule="exact"/>
        <w:ind w:firstLine="480"/>
        <w:rPr>
          <w:rFonts w:ascii="宋体" w:hAnsi="宋体"/>
          <w:sz w:val="24"/>
          <w:szCs w:val="24"/>
        </w:rPr>
      </w:pPr>
      <w:r>
        <w:rPr>
          <w:rFonts w:hint="eastAsia" w:ascii="宋体" w:hAnsi="宋体"/>
          <w:sz w:val="24"/>
          <w:szCs w:val="24"/>
        </w:rPr>
        <w:t>针对入选合作院校，</w:t>
      </w:r>
      <w:r>
        <w:rPr>
          <w:rFonts w:hint="eastAsia" w:ascii="宋体" w:hAnsi="宋体"/>
          <w:color w:val="auto"/>
          <w:sz w:val="24"/>
          <w:szCs w:val="24"/>
        </w:rPr>
        <w:t>项目发起单位</w:t>
      </w:r>
      <w:r>
        <w:rPr>
          <w:rFonts w:hint="eastAsia" w:ascii="宋体" w:hAnsi="宋体"/>
          <w:sz w:val="24"/>
          <w:szCs w:val="24"/>
        </w:rPr>
        <w:t>将提供完善的资源和服务体系，以保证院校顺利开展合作课题，并为院校在专业课程实训教学、课程资源平台，</w:t>
      </w:r>
      <w:r>
        <w:rPr>
          <w:rFonts w:hint="eastAsia" w:ascii="宋体" w:hAnsi="宋体"/>
          <w:color w:val="000000"/>
          <w:sz w:val="24"/>
          <w:szCs w:val="24"/>
        </w:rPr>
        <w:t>以及本课题鼓励支持</w:t>
      </w:r>
      <w:r>
        <w:rPr>
          <w:rFonts w:hint="eastAsia" w:ascii="宋体" w:hAnsi="宋体"/>
          <w:sz w:val="24"/>
          <w:szCs w:val="24"/>
        </w:rPr>
        <w:t>方向的科研、教学和人才培养提供长期有效的支持</w:t>
      </w:r>
      <w:r>
        <w:rPr>
          <w:rFonts w:hint="eastAsia" w:ascii="宋体" w:hAnsi="宋体"/>
          <w:color w:val="auto"/>
          <w:sz w:val="24"/>
          <w:szCs w:val="24"/>
        </w:rPr>
        <w:t>。</w:t>
      </w:r>
    </w:p>
    <w:p>
      <w:pPr>
        <w:spacing w:before="326" w:beforeLines="100" w:after="0" w:line="460" w:lineRule="exact"/>
        <w:ind w:firstLine="0" w:firstLineChars="0"/>
        <w:jc w:val="center"/>
        <w:rPr>
          <w:b/>
          <w:sz w:val="24"/>
          <w:szCs w:val="24"/>
        </w:rPr>
      </w:pPr>
      <w:r>
        <w:rPr>
          <w:rFonts w:hint="eastAsia"/>
          <w:b/>
          <w:sz w:val="24"/>
          <w:szCs w:val="24"/>
        </w:rPr>
        <w:t>表三 提供给课题研究的软硬件平台说明</w:t>
      </w:r>
    </w:p>
    <w:tbl>
      <w:tblPr>
        <w:tblStyle w:val="3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0" w:type="dxa"/>
            <w:shd w:val="clear" w:color="000000" w:fill="C0C0C0"/>
            <w:vAlign w:val="center"/>
          </w:tcPr>
          <w:p>
            <w:pPr>
              <w:spacing w:before="0" w:after="0"/>
              <w:ind w:firstLine="0" w:firstLineChars="0"/>
              <w:jc w:val="center"/>
              <w:rPr>
                <w:rFonts w:ascii="宋体" w:hAnsi="宋体"/>
                <w:b/>
                <w:sz w:val="22"/>
                <w:szCs w:val="22"/>
              </w:rPr>
            </w:pPr>
            <w:r>
              <w:rPr>
                <w:rFonts w:hint="eastAsia" w:ascii="宋体" w:hAnsi="宋体"/>
                <w:b/>
                <w:sz w:val="22"/>
                <w:szCs w:val="22"/>
              </w:rPr>
              <w:t>平台编号</w:t>
            </w:r>
          </w:p>
        </w:tc>
        <w:tc>
          <w:tcPr>
            <w:tcW w:w="1701" w:type="dxa"/>
            <w:shd w:val="clear" w:color="000000" w:fill="C0C0C0"/>
            <w:vAlign w:val="center"/>
          </w:tcPr>
          <w:p>
            <w:pPr>
              <w:spacing w:before="0" w:after="0"/>
              <w:ind w:firstLine="0" w:firstLineChars="0"/>
              <w:jc w:val="center"/>
              <w:rPr>
                <w:rFonts w:ascii="宋体" w:hAnsi="宋体"/>
                <w:b/>
                <w:sz w:val="22"/>
                <w:szCs w:val="22"/>
              </w:rPr>
            </w:pPr>
            <w:r>
              <w:rPr>
                <w:rFonts w:hint="eastAsia" w:ascii="宋体" w:hAnsi="宋体"/>
                <w:b/>
                <w:sz w:val="22"/>
                <w:szCs w:val="22"/>
              </w:rPr>
              <w:t>技术平台</w:t>
            </w:r>
          </w:p>
        </w:tc>
        <w:tc>
          <w:tcPr>
            <w:tcW w:w="6945" w:type="dxa"/>
            <w:shd w:val="clear" w:color="000000" w:fill="C0C0C0"/>
            <w:vAlign w:val="center"/>
          </w:tcPr>
          <w:p>
            <w:pPr>
              <w:spacing w:before="0" w:after="0"/>
              <w:ind w:firstLine="0" w:firstLineChars="0"/>
              <w:jc w:val="center"/>
              <w:rPr>
                <w:rFonts w:ascii="宋体" w:hAnsi="宋体"/>
                <w:b/>
                <w:sz w:val="22"/>
                <w:szCs w:val="22"/>
              </w:rPr>
            </w:pPr>
            <w:r>
              <w:rPr>
                <w:rFonts w:hint="eastAsia" w:ascii="宋体" w:hAnsi="宋体"/>
                <w:b/>
                <w:sz w:val="22"/>
                <w:szCs w:val="22"/>
              </w:rPr>
              <w:t>技术平台详细介绍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sz w:val="20"/>
              </w:rPr>
              <w:t>C</w:t>
            </w:r>
            <w:r>
              <w:rPr>
                <w:rFonts w:ascii="宋体" w:hAnsi="宋体"/>
                <w:sz w:val="20"/>
              </w:rPr>
              <w:t>01</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cs="宋体"/>
                <w:sz w:val="20"/>
              </w:rPr>
              <w:t>大数据财务决策平台</w:t>
            </w:r>
          </w:p>
        </w:tc>
        <w:tc>
          <w:tcPr>
            <w:tcW w:w="6945" w:type="dxa"/>
            <w:shd w:val="clear" w:color="auto" w:fill="auto"/>
            <w:vAlign w:val="center"/>
          </w:tcPr>
          <w:p>
            <w:pPr>
              <w:pStyle w:val="42"/>
              <w:spacing w:before="0" w:after="0" w:line="300" w:lineRule="exact"/>
              <w:ind w:left="0" w:firstLine="400"/>
              <w:jc w:val="left"/>
              <w:rPr>
                <w:rFonts w:ascii="宋体" w:hAnsi="宋体" w:cs="宋体"/>
                <w:iCs w:val="0"/>
                <w:sz w:val="20"/>
              </w:rPr>
            </w:pPr>
            <w:r>
              <w:rPr>
                <w:rFonts w:hint="eastAsia" w:ascii="宋体" w:hAnsi="宋体" w:cs="宋体"/>
                <w:iCs w:val="0"/>
                <w:sz w:val="20"/>
              </w:rPr>
              <w:t>平台采用大数据分析方法，包括杜邦分析的可视化、线性回归分析、ARIMA模型、决策树分析与随机森林模型、BP神经网络分析、遗传算法分析等，涵盖了Python编程基础、数据处理与数据可视化、利用大数据进行企业盈利能力分析、投资效率分析、营业收入预测、会计舞弊识别、数据资源价值评估、生产效率分析等多个内容。平台融入多种机器学习算法和大数据处理技术，涉及数据抽取、数据清洗、数据分析、数据建模等方面，覆盖企业财务管理投资、融资和生产经营三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C02</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业财一体化设计平台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将财务融入业务，可自主设计企业架构、业务流程、内控审批节点、风险控制因素、内部表单等，使信息流、资金流、票据流三流合一，搭建智能化财务数据平台。平台分为企业管理模块、表单自定义模块、流程设计模块、预算管理模块、动态建模模块、流程执行模块等六大模块内容，以业财一体信息化对应的工作岗位的能力需求为基础，运用案例比较分析,对企业各典型业务流程及内容进行设计，体现过程控制、内部决策、动态建模等全方位的数据一体化自动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C03</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数字化企业内部控制平台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以业务为本、风险为导向、流程为抓手、表单为数据载体，融入数字创新技术，实现内控学习项目化、场景化、动态化。针对企业各典型业务从企业内控风险分析、内控流程设计、内控制度设计等内容进行梳理、设计和再造，体现过程控制、内部决策等全方位的数据一体化自动协同。</w:t>
            </w:r>
          </w:p>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结合丰富的企业典型案例，利用数字化建模工具，打通表单数据间的逻辑关联，把数据通过流程进行IT固化，将内控嵌入会计信息系统当中，建立基于大数据的智能内控系统。将内控风险管理设计深入穿插业务表单、流程设计的前端，业务的每一个流程节点、审批环节都成为内控管理的数据来源，为管理决策提供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C04</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cs="宋体"/>
                <w:color w:val="000000"/>
                <w:sz w:val="20"/>
              </w:rPr>
              <w:t>RPA机器人平台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基于企业级RPA工具及技术作为财务机器人的开发与应用的技术支撑，结合开发需求、程序开发和开发沟通等事项，流程按照“发现企业业务可以实现自动化”、“按照优先级构建自动化流程”、“参与管理并优化自动化规则”、“业务流程运行RPA”、“员工与机器人实现流程协作”、“评估业务流程自动化成果”的工作原理和开发思维。</w:t>
            </w:r>
          </w:p>
          <w:p>
            <w:pPr>
              <w:shd w:val="clear" w:color="auto" w:fill="FFFFFF"/>
              <w:spacing w:before="0" w:after="0" w:line="300" w:lineRule="exact"/>
              <w:ind w:firstLine="420" w:firstLineChars="0"/>
              <w:rPr>
                <w:rFonts w:ascii="宋体" w:hAnsi="宋体" w:cs="宋体"/>
                <w:iCs w:val="0"/>
                <w:sz w:val="20"/>
              </w:rPr>
            </w:pPr>
            <w:r>
              <w:rPr>
                <w:rFonts w:hint="eastAsia" w:ascii="宋体" w:hAnsi="宋体" w:cs="宋体"/>
                <w:color w:val="000000"/>
                <w:sz w:val="20"/>
              </w:rPr>
              <w:t>平台提供仿真网银、发票、电子税务局、政府采购、人力资源等系统，作为RPA机器人开发、调试、测试和工作的环境。平台提供BI工具，以“提出问题-数据获取-数据清洗-数据加工-数据分析”的流程步骤，创建时间趋势分析图表、分布分析图表及数字化大屏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w:t>
            </w:r>
            <w:r>
              <w:rPr>
                <w:rFonts w:ascii="宋体" w:hAnsi="宋体"/>
                <w:sz w:val="20"/>
              </w:rPr>
              <w:t>0</w:t>
            </w:r>
            <w:r>
              <w:rPr>
                <w:rFonts w:hint="eastAsia" w:ascii="宋体" w:hAnsi="宋体"/>
                <w:sz w:val="20"/>
              </w:rPr>
              <w:t>5</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大数据财务分析平台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ascii="宋体" w:hAnsi="宋体" w:cs="宋体"/>
                <w:color w:val="000000"/>
                <w:sz w:val="20"/>
              </w:rPr>
              <w:t>平台以财报分析为核心，以财经数据库（国内所有上市公司数据）和可视化</w:t>
            </w:r>
            <w:r>
              <w:rPr>
                <w:rFonts w:hint="eastAsia" w:ascii="宋体" w:hAnsi="宋体" w:cs="宋体"/>
                <w:color w:val="000000"/>
                <w:sz w:val="20"/>
              </w:rPr>
              <w:t>自助</w:t>
            </w:r>
            <w:r>
              <w:rPr>
                <w:rFonts w:ascii="宋体" w:hAnsi="宋体" w:cs="宋体"/>
                <w:color w:val="000000"/>
                <w:sz w:val="20"/>
              </w:rPr>
              <w:t>分析工具为基础，</w:t>
            </w:r>
            <w:r>
              <w:rPr>
                <w:rFonts w:hint="eastAsia" w:ascii="宋体" w:hAnsi="宋体" w:cs="宋体"/>
                <w:color w:val="000000"/>
                <w:sz w:val="20"/>
              </w:rPr>
              <w:t>可</w:t>
            </w:r>
            <w:r>
              <w:rPr>
                <w:rFonts w:ascii="宋体" w:hAnsi="宋体" w:cs="宋体"/>
                <w:color w:val="000000"/>
                <w:sz w:val="20"/>
              </w:rPr>
              <w:t>利用内置多样图表工具，通过可视化、智能化、动态化图表的对比，分析研究行业特征、企业战略、经营管理、财务效率、经营绩效等多层次的经营成果，</w:t>
            </w:r>
            <w:r>
              <w:rPr>
                <w:rFonts w:hint="eastAsia" w:ascii="宋体" w:hAnsi="宋体" w:cs="宋体"/>
                <w:color w:val="000000"/>
                <w:sz w:val="20"/>
              </w:rPr>
              <w:t>将大数据思维、大数据技术与财务数据分析、财务分析决策相融合</w:t>
            </w:r>
            <w:r>
              <w:rPr>
                <w:rFonts w:ascii="宋体" w:hAnsi="宋体" w:cs="宋体"/>
                <w:color w:val="000000"/>
                <w:sz w:val="20"/>
              </w:rPr>
              <w:t>。通过可视化图表工具，可以分析、展示企业不同时期的各种指标表现，可以将该企业与行业标杆、行业均值进行对比，透视企业的真实经营状况。</w:t>
            </w:r>
          </w:p>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内置基于ETL技术的可视化分析模型工具，集成大数据分析全过程数据处理工具，通过数据采集清洗、抽取转换、加工加载及可视化呈现，建立企业数据画像，实现数据可视化分析。提供宏观经济数据库，数据内容涵盖国民经济核算、人口、对外经济贸易、GDP和CPI等价格指数、采购经理指数等多个数据模块，支持分析模型多层数据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C06</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商务数据分析与应用平台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基于电商大数据库、可视化自助分析、可视化大数据模型以及真实企业电商案例，将大数据思维、大数据技术与电商数据分析、电商分析决策相融合。平台内嵌丰富的动态数据指标、多样化数据分析模型、自动生成分析报表、数字化驾驶舱分析，可进行驾驶舱模型搭建，可根据市场变化进行实时更新，借助智能化、可视化、动态化数据分析工具来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C07</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cs="宋体"/>
                <w:color w:val="000000"/>
                <w:sz w:val="20"/>
              </w:rPr>
              <w:t>金税平台（含开票、认证、个税、电子税务局）</w:t>
            </w:r>
          </w:p>
        </w:tc>
        <w:tc>
          <w:tcPr>
            <w:tcW w:w="6945" w:type="dxa"/>
            <w:shd w:val="clear" w:color="auto" w:fill="auto"/>
            <w:vAlign w:val="center"/>
          </w:tcPr>
          <w:p>
            <w:pPr>
              <w:shd w:val="clear" w:color="auto" w:fill="FFFFFF"/>
              <w:spacing w:before="0" w:after="0" w:line="300" w:lineRule="exact"/>
              <w:ind w:firstLine="420" w:firstLineChars="0"/>
              <w:jc w:val="left"/>
              <w:rPr>
                <w:rFonts w:ascii="宋体" w:hAnsi="宋体" w:cs="宋体"/>
                <w:color w:val="000000"/>
                <w:szCs w:val="21"/>
              </w:rPr>
            </w:pPr>
            <w:r>
              <w:rPr>
                <w:rFonts w:hint="eastAsia" w:ascii="宋体" w:hAnsi="宋体" w:cs="宋体"/>
                <w:color w:val="000000"/>
                <w:sz w:val="20"/>
              </w:rPr>
              <w:t>平台以纳税人价值获取作为建设和发展对象，建立共享机制，实时、完整、准确地掌握涉税信息和人员信息；平台从制造、房地产、运输、服务等多行业企业出发，覆盖增值税、企业所得税、消费税、印花税等全税种，通过开票系统、增值税发票综合服务平台、电子税务局、自然人电子税务局、税务稽查、税负分析、3D税务办公环境等办税相关系统，把企业报税案例和真实的报税系统融为一体，展现企业报税具体操作流程及不同行业的纳税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C08</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业财税平台</w:t>
            </w:r>
          </w:p>
        </w:tc>
        <w:tc>
          <w:tcPr>
            <w:tcW w:w="6945" w:type="dxa"/>
            <w:shd w:val="clear" w:color="auto" w:fill="auto"/>
            <w:vAlign w:val="center"/>
          </w:tcPr>
          <w:p>
            <w:pPr>
              <w:shd w:val="clear" w:color="auto" w:fill="FFFFFF"/>
              <w:spacing w:before="0" w:after="0" w:line="300" w:lineRule="exact"/>
              <w:ind w:firstLine="420" w:firstLineChars="0"/>
              <w:jc w:val="left"/>
              <w:rPr>
                <w:rFonts w:ascii="宋体" w:hAnsi="宋体" w:cs="宋体"/>
                <w:color w:val="000000"/>
                <w:sz w:val="20"/>
              </w:rPr>
            </w:pPr>
            <w:r>
              <w:rPr>
                <w:rFonts w:ascii="宋体" w:hAnsi="宋体" w:cs="宋体"/>
                <w:color w:val="000000"/>
                <w:sz w:val="20"/>
              </w:rPr>
              <w:t>基于制造业的产供销研等具体的业务流程，通过对业务关键点、风险点的识别，设计内控制度与业务流程。根据企业数据化管理的需要，设计流程节点的数据维度，完成流程表单化设计；依据不同经营管理角色的特点，设计业财税平台各个角色管理驾驶舱；根据经营决策与执行，生成数据中台和业务中台，最终形成财务报告和管理会计报告；方便经营决策者做进一步的决策和战略管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3"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sz w:val="20"/>
              </w:rPr>
              <w:t>C</w:t>
            </w:r>
            <w:r>
              <w:rPr>
                <w:rFonts w:ascii="宋体" w:hAnsi="宋体"/>
                <w:sz w:val="20"/>
              </w:rPr>
              <w:t>0</w:t>
            </w:r>
            <w:r>
              <w:rPr>
                <w:rFonts w:hint="eastAsia" w:ascii="宋体" w:hAnsi="宋体"/>
                <w:sz w:val="20"/>
              </w:rPr>
              <w:t>9</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sz w:val="20"/>
              </w:rPr>
              <w:t>智能审计平台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平台利用大数据处理技术，能够实现数据采集</w:t>
            </w:r>
            <w:r>
              <w:rPr>
                <w:rFonts w:ascii="宋体" w:hAnsi="宋体" w:cs="宋体"/>
                <w:color w:val="000000"/>
                <w:sz w:val="20"/>
              </w:rPr>
              <w:t>、</w:t>
            </w:r>
            <w:r>
              <w:rPr>
                <w:rFonts w:hint="eastAsia" w:ascii="宋体" w:hAnsi="宋体" w:cs="宋体"/>
                <w:color w:val="000000"/>
                <w:sz w:val="20"/>
              </w:rPr>
              <w:t>自动校验和一键生成（报表、底稿、报告、合并）；执行完审计程序生产工作</w:t>
            </w:r>
            <w:r>
              <w:rPr>
                <w:rFonts w:ascii="宋体" w:hAnsi="宋体" w:cs="宋体"/>
                <w:color w:val="000000"/>
                <w:sz w:val="20"/>
              </w:rPr>
              <w:t>底稿；</w:t>
            </w:r>
            <w:r>
              <w:rPr>
                <w:rFonts w:hint="eastAsia" w:ascii="宋体" w:hAnsi="宋体" w:cs="宋体"/>
                <w:color w:val="000000"/>
                <w:sz w:val="20"/>
              </w:rPr>
              <w:t>报告</w:t>
            </w:r>
            <w:r>
              <w:rPr>
                <w:rFonts w:ascii="宋体" w:hAnsi="宋体" w:cs="宋体"/>
                <w:color w:val="000000"/>
                <w:sz w:val="20"/>
              </w:rPr>
              <w:t>附注</w:t>
            </w:r>
            <w:r>
              <w:rPr>
                <w:rFonts w:hint="eastAsia" w:ascii="宋体" w:hAnsi="宋体" w:cs="宋体"/>
                <w:color w:val="000000"/>
                <w:sz w:val="20"/>
              </w:rPr>
              <w:t>实时编辑</w:t>
            </w:r>
            <w:r>
              <w:rPr>
                <w:rFonts w:ascii="宋体" w:hAnsi="宋体" w:cs="宋体"/>
                <w:color w:val="000000"/>
                <w:sz w:val="20"/>
              </w:rPr>
              <w:t>实时更新</w:t>
            </w:r>
            <w:r>
              <w:rPr>
                <w:rFonts w:hint="eastAsia" w:ascii="宋体" w:hAnsi="宋体" w:cs="宋体"/>
                <w:color w:val="000000"/>
                <w:sz w:val="20"/>
              </w:rPr>
              <w:t>。平台采用目前最先进的高可用、分布式服务器架构，采用统一且唯一的大数据数据库，提供标准对内和对外的数据接口，能够集成市场上最先进的信息化产品服务审计行业。目前已经对接了天眼查、扫描全能王、启信宝、快递鸟、顺丰等外部系统；已经对接了银行存款个人和企业纸质和电子对账单，实现了货币资金明细账与对账单的全面比对。平台提供强大</w:t>
            </w:r>
            <w:r>
              <w:rPr>
                <w:rFonts w:ascii="宋体" w:hAnsi="宋体" w:cs="宋体"/>
                <w:color w:val="000000"/>
                <w:sz w:val="20"/>
              </w:rPr>
              <w:t>的</w:t>
            </w:r>
            <w:r>
              <w:rPr>
                <w:rFonts w:hint="eastAsia" w:ascii="宋体" w:hAnsi="宋体" w:cs="宋体"/>
                <w:color w:val="000000"/>
                <w:sz w:val="20"/>
              </w:rPr>
              <w:t>大数据</w:t>
            </w:r>
            <w:r>
              <w:rPr>
                <w:rFonts w:ascii="宋体" w:hAnsi="宋体" w:cs="宋体"/>
                <w:color w:val="000000"/>
                <w:sz w:val="20"/>
              </w:rPr>
              <w:t>可视化</w:t>
            </w:r>
            <w:r>
              <w:rPr>
                <w:rFonts w:hint="eastAsia" w:ascii="宋体" w:hAnsi="宋体" w:cs="宋体"/>
                <w:color w:val="000000"/>
                <w:sz w:val="20"/>
              </w:rPr>
              <w:t>工具</w:t>
            </w:r>
            <w:r>
              <w:rPr>
                <w:rFonts w:ascii="宋体" w:hAnsi="宋体" w:cs="宋体"/>
                <w:color w:val="000000"/>
                <w:sz w:val="20"/>
              </w:rPr>
              <w:t>，</w:t>
            </w:r>
            <w:r>
              <w:rPr>
                <w:rFonts w:hint="eastAsia" w:ascii="宋体" w:hAnsi="宋体" w:cs="宋体"/>
                <w:color w:val="000000"/>
                <w:sz w:val="20"/>
              </w:rPr>
              <w:t>对接</w:t>
            </w:r>
            <w:r>
              <w:rPr>
                <w:rFonts w:ascii="宋体" w:hAnsi="宋体" w:cs="宋体"/>
                <w:color w:val="000000"/>
                <w:sz w:val="20"/>
              </w:rPr>
              <w:t>所有上市公司公开数据，</w:t>
            </w:r>
            <w:r>
              <w:rPr>
                <w:rFonts w:hint="eastAsia" w:ascii="宋体" w:hAnsi="宋体" w:cs="宋体"/>
                <w:color w:val="000000"/>
                <w:sz w:val="20"/>
              </w:rPr>
              <w:t>辅助审计</w:t>
            </w:r>
            <w:r>
              <w:rPr>
                <w:rFonts w:ascii="宋体" w:hAnsi="宋体" w:cs="宋体"/>
                <w:color w:val="000000"/>
                <w:sz w:val="20"/>
              </w:rPr>
              <w:t>师进行</w:t>
            </w:r>
            <w:r>
              <w:rPr>
                <w:rFonts w:hint="eastAsia" w:ascii="宋体" w:hAnsi="宋体" w:cs="宋体"/>
                <w:color w:val="000000"/>
                <w:sz w:val="20"/>
              </w:rPr>
              <w:t>财务</w:t>
            </w:r>
            <w:r>
              <w:rPr>
                <w:rFonts w:ascii="宋体" w:hAnsi="宋体" w:cs="宋体"/>
                <w:color w:val="000000"/>
                <w:sz w:val="20"/>
              </w:rPr>
              <w:t>分析</w:t>
            </w:r>
            <w:r>
              <w:rPr>
                <w:rFonts w:hint="eastAsia" w:ascii="宋体" w:hAnsi="宋体" w:cs="宋体"/>
                <w:color w:val="000000"/>
                <w:sz w:val="20"/>
              </w:rPr>
              <w:t>，在数据层面真正做好风险导向审计。</w:t>
            </w:r>
          </w:p>
          <w:p>
            <w:pPr>
              <w:shd w:val="clear" w:color="auto" w:fill="FFFFFF"/>
              <w:spacing w:before="0" w:after="0" w:line="300" w:lineRule="exact"/>
              <w:ind w:firstLine="420" w:firstLineChars="0"/>
              <w:rPr>
                <w:rFonts w:ascii="宋体" w:hAnsi="宋体" w:cs="宋体"/>
                <w:color w:val="000000"/>
                <w:szCs w:val="21"/>
              </w:rPr>
            </w:pPr>
            <w:r>
              <w:rPr>
                <w:rFonts w:hint="eastAsia" w:ascii="宋体" w:hAnsi="宋体" w:cs="宋体"/>
                <w:color w:val="000000"/>
                <w:sz w:val="20"/>
              </w:rPr>
              <w:t>平台</w:t>
            </w:r>
            <w:r>
              <w:rPr>
                <w:rFonts w:ascii="宋体" w:hAnsi="宋体" w:cs="宋体"/>
                <w:color w:val="000000"/>
                <w:sz w:val="20"/>
              </w:rPr>
              <w:t>具有以下主要功能：</w:t>
            </w:r>
            <w:r>
              <w:rPr>
                <w:rFonts w:hint="eastAsia" w:ascii="宋体" w:hAnsi="宋体" w:cs="宋体"/>
                <w:color w:val="000000"/>
                <w:sz w:val="20"/>
              </w:rPr>
              <w:t>数据</w:t>
            </w:r>
            <w:r>
              <w:rPr>
                <w:rFonts w:ascii="宋体" w:hAnsi="宋体" w:cs="宋体"/>
                <w:color w:val="000000"/>
                <w:sz w:val="20"/>
              </w:rPr>
              <w:t>导入、</w:t>
            </w:r>
            <w:r>
              <w:rPr>
                <w:rFonts w:hint="eastAsia" w:ascii="宋体" w:hAnsi="宋体" w:cs="宋体"/>
                <w:color w:val="000000"/>
                <w:sz w:val="20"/>
              </w:rPr>
              <w:t>检查校验/账项</w:t>
            </w:r>
            <w:r>
              <w:rPr>
                <w:rFonts w:ascii="宋体" w:hAnsi="宋体" w:cs="宋体"/>
                <w:color w:val="000000"/>
                <w:sz w:val="20"/>
              </w:rPr>
              <w:t>映射、</w:t>
            </w:r>
            <w:r>
              <w:rPr>
                <w:rFonts w:hint="eastAsia" w:ascii="宋体" w:hAnsi="宋体" w:cs="宋体"/>
                <w:color w:val="000000"/>
                <w:sz w:val="20"/>
              </w:rPr>
              <w:t>生成</w:t>
            </w:r>
            <w:r>
              <w:rPr>
                <w:rFonts w:ascii="宋体" w:hAnsi="宋体" w:cs="宋体"/>
                <w:color w:val="000000"/>
                <w:sz w:val="20"/>
              </w:rPr>
              <w:t>报表、</w:t>
            </w:r>
            <w:r>
              <w:rPr>
                <w:rFonts w:hint="eastAsia" w:ascii="宋体" w:hAnsi="宋体" w:cs="宋体"/>
                <w:color w:val="000000"/>
                <w:sz w:val="20"/>
              </w:rPr>
              <w:t>审计</w:t>
            </w:r>
            <w:r>
              <w:rPr>
                <w:rFonts w:ascii="宋体" w:hAnsi="宋体" w:cs="宋体"/>
                <w:color w:val="000000"/>
                <w:sz w:val="20"/>
              </w:rPr>
              <w:t>程序</w:t>
            </w:r>
            <w:r>
              <w:rPr>
                <w:rFonts w:hint="eastAsia" w:ascii="宋体" w:hAnsi="宋体" w:cs="宋体"/>
                <w:color w:val="000000"/>
                <w:sz w:val="20"/>
              </w:rPr>
              <w:t>（包括抽凭</w:t>
            </w:r>
            <w:r>
              <w:rPr>
                <w:rFonts w:ascii="宋体" w:hAnsi="宋体" w:cs="宋体"/>
                <w:color w:val="000000"/>
                <w:sz w:val="20"/>
              </w:rPr>
              <w:t>、函证中心等</w:t>
            </w:r>
            <w:r>
              <w:rPr>
                <w:rFonts w:hint="eastAsia" w:ascii="宋体" w:hAnsi="宋体" w:cs="宋体"/>
                <w:color w:val="000000"/>
                <w:sz w:val="20"/>
              </w:rPr>
              <w:t>）</w:t>
            </w:r>
            <w:r>
              <w:rPr>
                <w:rFonts w:ascii="宋体" w:hAnsi="宋体" w:cs="宋体"/>
                <w:color w:val="000000"/>
                <w:sz w:val="20"/>
              </w:rPr>
              <w:t>、</w:t>
            </w:r>
            <w:r>
              <w:rPr>
                <w:rFonts w:hint="eastAsia" w:ascii="宋体" w:hAnsi="宋体" w:cs="宋体"/>
                <w:color w:val="000000"/>
                <w:sz w:val="20"/>
              </w:rPr>
              <w:t>底稿/报告</w:t>
            </w:r>
            <w:r>
              <w:rPr>
                <w:rFonts w:ascii="宋体" w:hAnsi="宋体" w:cs="宋体"/>
                <w:color w:val="000000"/>
                <w:sz w:val="20"/>
              </w:rPr>
              <w:t>及</w:t>
            </w:r>
            <w:r>
              <w:rPr>
                <w:rFonts w:hint="eastAsia" w:ascii="宋体" w:hAnsi="宋体" w:cs="宋体"/>
                <w:color w:val="000000"/>
                <w:sz w:val="20"/>
              </w:rPr>
              <w:t>附注</w:t>
            </w:r>
            <w:r>
              <w:rPr>
                <w:rFonts w:ascii="宋体" w:hAnsi="宋体" w:cs="宋体"/>
                <w:color w:val="000000"/>
                <w:sz w:val="20"/>
              </w:rPr>
              <w:t>、</w:t>
            </w:r>
            <w:r>
              <w:rPr>
                <w:rFonts w:hint="eastAsia" w:ascii="宋体" w:hAnsi="宋体" w:cs="宋体"/>
                <w:color w:val="000000"/>
                <w:sz w:val="20"/>
              </w:rPr>
              <w:t>审计</w:t>
            </w:r>
            <w:r>
              <w:rPr>
                <w:rFonts w:ascii="宋体" w:hAnsi="宋体" w:cs="宋体"/>
                <w:color w:val="000000"/>
                <w:sz w:val="20"/>
              </w:rPr>
              <w:t>调整、</w:t>
            </w:r>
            <w:r>
              <w:rPr>
                <w:rFonts w:hint="eastAsia" w:ascii="宋体" w:hAnsi="宋体" w:cs="宋体"/>
                <w:color w:val="000000"/>
                <w:sz w:val="20"/>
              </w:rPr>
              <w:t>合并报表</w:t>
            </w:r>
            <w:r>
              <w:rPr>
                <w:rFonts w:ascii="宋体" w:hAnsi="宋体" w:cs="宋体"/>
                <w:color w:val="000000"/>
                <w:sz w:val="20"/>
              </w:rPr>
              <w:t>、</w:t>
            </w:r>
            <w:r>
              <w:rPr>
                <w:rFonts w:hint="eastAsia" w:ascii="宋体" w:hAnsi="宋体" w:cs="宋体"/>
                <w:color w:val="000000"/>
                <w:sz w:val="20"/>
              </w:rPr>
              <w:t>财务分析。具有</w:t>
            </w:r>
            <w:r>
              <w:rPr>
                <w:rFonts w:ascii="宋体" w:hAnsi="宋体" w:cs="宋体"/>
                <w:color w:val="000000"/>
                <w:sz w:val="20"/>
              </w:rPr>
              <w:t>以下</w:t>
            </w:r>
            <w:r>
              <w:rPr>
                <w:rFonts w:hint="eastAsia" w:ascii="宋体" w:hAnsi="宋体" w:cs="宋体"/>
                <w:color w:val="000000"/>
                <w:sz w:val="20"/>
              </w:rPr>
              <w:t>特色</w:t>
            </w:r>
            <w:r>
              <w:rPr>
                <w:rFonts w:ascii="宋体" w:hAnsi="宋体" w:cs="宋体"/>
                <w:color w:val="000000"/>
                <w:sz w:val="20"/>
              </w:rPr>
              <w:t>功能：</w:t>
            </w:r>
            <w:r>
              <w:rPr>
                <w:rFonts w:hint="eastAsia" w:ascii="宋体" w:hAnsi="宋体" w:cs="宋体"/>
                <w:color w:val="000000"/>
                <w:sz w:val="20"/>
              </w:rPr>
              <w:t>现金流量表</w:t>
            </w:r>
            <w:r>
              <w:rPr>
                <w:rFonts w:ascii="宋体" w:hAnsi="宋体" w:cs="宋体"/>
                <w:color w:val="000000"/>
                <w:sz w:val="20"/>
              </w:rPr>
              <w:t>主表附表</w:t>
            </w:r>
            <w:r>
              <w:rPr>
                <w:rFonts w:hint="eastAsia" w:ascii="宋体" w:hAnsi="宋体" w:cs="宋体"/>
                <w:color w:val="000000"/>
                <w:sz w:val="20"/>
              </w:rPr>
              <w:t>自动生成</w:t>
            </w:r>
            <w:r>
              <w:rPr>
                <w:rFonts w:ascii="宋体" w:hAnsi="宋体" w:cs="宋体"/>
                <w:color w:val="000000"/>
                <w:sz w:val="20"/>
              </w:rPr>
              <w:t>、</w:t>
            </w:r>
            <w:r>
              <w:rPr>
                <w:rFonts w:hint="eastAsia" w:ascii="宋体" w:hAnsi="宋体" w:cs="宋体"/>
                <w:color w:val="000000"/>
                <w:sz w:val="20"/>
              </w:rPr>
              <w:t>货币资金</w:t>
            </w:r>
            <w:r>
              <w:rPr>
                <w:rFonts w:ascii="宋体" w:hAnsi="宋体" w:cs="宋体"/>
                <w:color w:val="000000"/>
                <w:sz w:val="20"/>
              </w:rPr>
              <w:t>全面审计、</w:t>
            </w:r>
            <w:r>
              <w:rPr>
                <w:rFonts w:hint="eastAsia" w:ascii="宋体" w:hAnsi="宋体" w:cs="宋体"/>
                <w:color w:val="000000"/>
                <w:sz w:val="20"/>
              </w:rPr>
              <w:t>全口径</w:t>
            </w:r>
            <w:r>
              <w:rPr>
                <w:rFonts w:ascii="宋体" w:hAnsi="宋体" w:cs="宋体"/>
                <w:color w:val="000000"/>
                <w:sz w:val="20"/>
              </w:rPr>
              <w:t>账龄分析、</w:t>
            </w:r>
            <w:r>
              <w:rPr>
                <w:rFonts w:hint="eastAsia" w:ascii="宋体" w:hAnsi="宋体" w:cs="宋体"/>
                <w:color w:val="000000"/>
                <w:sz w:val="20"/>
              </w:rPr>
              <w:t>负值重分类</w:t>
            </w:r>
            <w:r>
              <w:rPr>
                <w:rFonts w:ascii="宋体" w:hAnsi="宋体" w:cs="宋体"/>
                <w:color w:val="000000"/>
                <w:sz w:val="20"/>
              </w:rPr>
              <w:t>、</w:t>
            </w:r>
            <w:r>
              <w:rPr>
                <w:rFonts w:hint="eastAsia" w:ascii="宋体" w:hAnsi="宋体" w:cs="宋体"/>
                <w:color w:val="000000"/>
                <w:sz w:val="20"/>
              </w:rPr>
              <w:t>合并报表</w:t>
            </w:r>
            <w:r>
              <w:rPr>
                <w:rFonts w:ascii="宋体" w:hAnsi="宋体" w:cs="宋体"/>
                <w:color w:val="000000"/>
                <w:sz w:val="20"/>
              </w:rPr>
              <w:t>往来</w:t>
            </w:r>
            <w:r>
              <w:rPr>
                <w:rFonts w:hint="eastAsia" w:ascii="宋体" w:hAnsi="宋体" w:cs="宋体"/>
                <w:color w:val="000000"/>
                <w:sz w:val="20"/>
              </w:rPr>
              <w:t>自动</w:t>
            </w:r>
            <w:r>
              <w:rPr>
                <w:rFonts w:ascii="宋体" w:hAnsi="宋体" w:cs="宋体"/>
                <w:color w:val="000000"/>
                <w:sz w:val="20"/>
              </w:rPr>
              <w:t>抓取、</w:t>
            </w:r>
            <w:r>
              <w:rPr>
                <w:rFonts w:hint="eastAsia" w:ascii="宋体" w:hAnsi="宋体" w:cs="宋体"/>
                <w:color w:val="000000"/>
                <w:sz w:val="20"/>
              </w:rPr>
              <w:t>关联关系</w:t>
            </w:r>
            <w:r>
              <w:rPr>
                <w:rFonts w:ascii="宋体" w:hAnsi="宋体" w:cs="宋体"/>
                <w:color w:val="000000"/>
                <w:sz w:val="20"/>
              </w:rPr>
              <w:t>核查</w:t>
            </w:r>
            <w:r>
              <w:rPr>
                <w:rFonts w:hint="eastAsia" w:ascii="宋体" w:hAnsi="宋体" w:cs="宋体"/>
                <w:color w:val="000000"/>
                <w:sz w:val="20"/>
              </w:rPr>
              <w:t>、</w:t>
            </w:r>
            <w:r>
              <w:rPr>
                <w:rFonts w:ascii="宋体" w:hAnsi="宋体" w:cs="宋体"/>
                <w:color w:val="000000"/>
                <w:sz w:val="20"/>
              </w:rPr>
              <w:t>资金占用核查</w:t>
            </w:r>
            <w:r>
              <w:rPr>
                <w:rFonts w:hint="eastAsia" w:ascii="宋体" w:hAnsi="宋体" w:cs="宋体"/>
                <w:color w:val="000000"/>
                <w:sz w:val="20"/>
              </w:rPr>
              <w:t>、</w:t>
            </w:r>
            <w:r>
              <w:rPr>
                <w:rFonts w:ascii="宋体" w:hAnsi="宋体" w:cs="宋体"/>
                <w:color w:val="000000"/>
                <w:sz w:val="20"/>
              </w:rPr>
              <w:t>纸质对账单</w:t>
            </w:r>
            <w:r>
              <w:rPr>
                <w:rFonts w:hint="eastAsia" w:ascii="宋体" w:hAnsi="宋体" w:cs="宋体"/>
                <w:color w:val="000000"/>
                <w:sz w:val="20"/>
              </w:rPr>
              <w:t>识别</w:t>
            </w:r>
            <w:r>
              <w:rPr>
                <w:rFonts w:ascii="宋体" w:hAnsi="宋体" w:cs="宋体"/>
                <w:color w:val="000000"/>
                <w:sz w:val="20"/>
              </w:rPr>
              <w:t>校验、</w:t>
            </w:r>
            <w:r>
              <w:rPr>
                <w:rFonts w:hint="eastAsia" w:ascii="宋体" w:hAnsi="宋体" w:cs="宋体"/>
                <w:color w:val="000000"/>
                <w:sz w:val="20"/>
              </w:rPr>
              <w:t>滚条</w:t>
            </w:r>
            <w:r>
              <w:rPr>
                <w:rFonts w:ascii="宋体" w:hAnsi="宋体" w:cs="宋体"/>
                <w:color w:val="000000"/>
                <w:sz w:val="20"/>
              </w:rPr>
              <w:t>等。</w:t>
            </w:r>
            <w:r>
              <w:rPr>
                <w:rFonts w:hint="eastAsia" w:ascii="宋体" w:hAnsi="宋体" w:cs="宋体"/>
                <w:color w:val="000000"/>
                <w:sz w:val="20"/>
              </w:rPr>
              <w:t>平台支持智能财务分析，能自动抓取案例账套数据并进行运算分析，将分析结果以可视化图表形式呈现。图表可进行拖拽逐月趋势分析，支持多指标同时展示在空白看板进对比分析。通过智能财务分析及可视化，能让财务指标异常更容易被捕捉，辅助风险识别。平台支持智能科目分析，包括科目趋势分析及对方科目分析，能自动抓取案例账套数据并进行运算分析。科目趋势分析能够对所有会计科目的月末余额或月发生额进行拖拽式图表可视化查看，也可切换成以表格的形式呈现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C10</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sz w:val="20"/>
              </w:rPr>
              <w:t>数字电商直播运营平台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平台深入分析直播电商企业对各岗位的人才技能需求，搭建直播电商核心技能模块，再运用大数据先进技术手段，搭建直播选品、销售、运营等环境，提供一体化全仿真直播系统。</w:t>
            </w:r>
          </w:p>
          <w:p>
            <w:pPr>
              <w:shd w:val="clear" w:color="auto" w:fill="FFFFFF"/>
              <w:spacing w:before="0" w:after="0" w:line="300" w:lineRule="exact"/>
              <w:ind w:firstLine="420" w:firstLineChars="0"/>
              <w:rPr>
                <w:rFonts w:ascii="宋体" w:hAnsi="宋体" w:cs="宋体"/>
                <w:color w:val="000000"/>
                <w:szCs w:val="21"/>
              </w:rPr>
            </w:pPr>
            <w:r>
              <w:rPr>
                <w:rFonts w:hint="eastAsia" w:ascii="宋体" w:hAnsi="宋体" w:cs="宋体"/>
                <w:color w:val="000000"/>
                <w:sz w:val="20"/>
              </w:rPr>
              <w:t>平台提供直播策划、策划修改、策划流程、设备调试、平台管理、创建预告直播间、直播间装修、商品管理、直播推广、直播间直播等运营项目，可进行无差别化商品直播营销，打造沉浸式的直播氛围。平台可对二级类目市场走势进行可视化数据分析，根据类目用户画像作品类热度分析，提供数据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C11</w:t>
            </w:r>
          </w:p>
        </w:tc>
        <w:tc>
          <w:tcPr>
            <w:tcW w:w="1701" w:type="dxa"/>
            <w:shd w:val="clear" w:color="auto" w:fill="auto"/>
            <w:vAlign w:val="center"/>
          </w:tcPr>
          <w:p>
            <w:pPr>
              <w:pStyle w:val="42"/>
              <w:spacing w:before="0" w:after="0" w:line="300" w:lineRule="exact"/>
              <w:ind w:left="0" w:firstLine="0" w:firstLineChars="0"/>
              <w:jc w:val="left"/>
              <w:rPr>
                <w:rFonts w:ascii="宋体" w:hAnsi="宋体"/>
                <w:sz w:val="20"/>
              </w:rPr>
            </w:pPr>
            <w:r>
              <w:rPr>
                <w:rFonts w:hint="eastAsia" w:ascii="宋体" w:hAnsi="宋体" w:cs="宋体"/>
                <w:color w:val="000000"/>
                <w:sz w:val="20"/>
              </w:rPr>
              <w:t>财务云共享平台</w:t>
            </w:r>
          </w:p>
        </w:tc>
        <w:tc>
          <w:tcPr>
            <w:tcW w:w="6945" w:type="dxa"/>
            <w:shd w:val="clear" w:color="auto" w:fill="auto"/>
            <w:vAlign w:val="center"/>
          </w:tcPr>
          <w:p>
            <w:pPr>
              <w:pStyle w:val="42"/>
              <w:spacing w:before="0" w:after="0" w:line="300" w:lineRule="exact"/>
              <w:ind w:left="0" w:firstLine="400"/>
              <w:jc w:val="left"/>
              <w:rPr>
                <w:rFonts w:ascii="宋体" w:hAnsi="宋体" w:cs="宋体"/>
                <w:color w:val="000000"/>
                <w:sz w:val="20"/>
              </w:rPr>
            </w:pPr>
            <w:r>
              <w:rPr>
                <w:rFonts w:hint="eastAsia" w:ascii="宋体" w:hAnsi="宋体" w:cs="宋体"/>
                <w:color w:val="000000"/>
                <w:sz w:val="20"/>
              </w:rPr>
              <w:t>平台集核算、报税、管理、咨询、协同于一体，含电子影像系统、核算系统、审核系统、报税系统和风控系统五个系统，提供票据识别、核算录入、业务审核、财务风控、税表计算、个税计算与申报等功能，另外配备动态真账系统，并配备风控系统检测工作质量、进行风险控制。平台开发基于Java + Spring boot + Spring cloud微服务架构，以业务模块为依据，对整个系统进行了微服务化切分。每个微服务都是一个小而美的业务单元，涉及多行业、横跨多岗位，业务一线式、全方位，仿真全真相结合，运用人工智能信息技术进行自动核算，支持用户在一个体系内完成所有经济业务的账务、税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C12</w:t>
            </w:r>
          </w:p>
        </w:tc>
        <w:tc>
          <w:tcPr>
            <w:tcW w:w="1701" w:type="dxa"/>
            <w:shd w:val="clear" w:color="auto" w:fill="auto"/>
            <w:vAlign w:val="center"/>
          </w:tcPr>
          <w:p>
            <w:pPr>
              <w:pStyle w:val="42"/>
              <w:spacing w:before="0" w:after="0" w:line="300" w:lineRule="exact"/>
              <w:ind w:left="0" w:firstLine="0" w:firstLineChars="0"/>
              <w:jc w:val="left"/>
              <w:rPr>
                <w:rFonts w:ascii="宋体" w:hAnsi="宋体"/>
                <w:sz w:val="20"/>
              </w:rPr>
            </w:pPr>
            <w:r>
              <w:rPr>
                <w:rFonts w:hint="eastAsia" w:ascii="宋体" w:hAnsi="宋体"/>
                <w:sz w:val="20"/>
              </w:rPr>
              <w:t>数字财经创新中心</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平台为产业级平台，包含RPA管理中心（高级版）+WeAutomate Robot（有人值守机器）+AI服务（商业版）+AI端云一体化服务器（硬件）+RPA设计器（商业版）+RPA设计器（教育版），创新中心还涉及有创新中心运营管理平台、多行业多领域数字机器人库、企业数字化体验中心设计图等相关技术平台。</w:t>
            </w:r>
          </w:p>
        </w:tc>
      </w:tr>
    </w:tbl>
    <w:p>
      <w:pPr>
        <w:pStyle w:val="4"/>
        <w:spacing w:before="0" w:beforeLines="0" w:line="500" w:lineRule="exact"/>
        <w:ind w:left="0" w:firstLine="560" w:firstLineChars="200"/>
      </w:pPr>
      <w:r>
        <w:rPr>
          <w:rFonts w:hint="eastAsia"/>
        </w:rPr>
        <w:t>课题申报说明</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申请人须仔细阅读申报指南，按照指南详细填写申请书，填写不合要求的课题会按照格式不符合要求处理。</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2. 请各课题申请人按要求填写申请书（申请书中手机和邮箱必须填写），加盖公章及签字后扫描上传至：</w:t>
      </w:r>
      <w:r>
        <w:rPr>
          <w:rFonts w:ascii="宋体" w:hAnsi="宋体" w:eastAsia="宋体"/>
          <w:bCs w:val="0"/>
          <w:color w:val="auto"/>
          <w:sz w:val="24"/>
          <w:szCs w:val="24"/>
        </w:rPr>
        <w:t>http://cxjj.cutech.edu.cn</w:t>
      </w:r>
      <w:r>
        <w:rPr>
          <w:rFonts w:hint="eastAsia" w:ascii="宋体" w:hAnsi="宋体" w:eastAsia="宋体"/>
          <w:b w:val="0"/>
          <w:bCs w:val="0"/>
          <w:color w:val="auto"/>
          <w:sz w:val="24"/>
          <w:szCs w:val="24"/>
        </w:rPr>
        <w:t>；为方便评审，申请书扫描件请按以下命名规则命名：学校名称+申请人姓名。</w:t>
      </w:r>
    </w:p>
    <w:p>
      <w:pPr>
        <w:pStyle w:val="4"/>
        <w:widowControl w:val="0"/>
        <w:numPr>
          <w:ilvl w:val="0"/>
          <w:numId w:val="0"/>
        </w:numPr>
        <w:adjustRightInd w:val="0"/>
        <w:snapToGrid w:val="0"/>
        <w:spacing w:before="0" w:beforeLines="0" w:line="500" w:lineRule="exact"/>
        <w:ind w:firstLine="480" w:firstLineChars="200"/>
        <w:contextualSpacing w:val="0"/>
        <w:jc w:val="both"/>
        <w:rPr>
          <w:rFonts w:ascii="宋体" w:hAnsi="宋体" w:eastAsia="宋体"/>
          <w:b w:val="0"/>
          <w:bCs w:val="0"/>
          <w:color w:val="auto"/>
          <w:sz w:val="24"/>
          <w:szCs w:val="24"/>
        </w:rPr>
      </w:pPr>
      <w:r>
        <w:rPr>
          <w:rFonts w:hint="eastAsia" w:ascii="宋体" w:hAnsi="宋体" w:eastAsia="宋体"/>
          <w:b w:val="0"/>
          <w:bCs w:val="0"/>
          <w:color w:val="auto"/>
          <w:sz w:val="24"/>
          <w:szCs w:val="24"/>
        </w:rPr>
        <w:t>3.</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书面材料一份，邮寄至：北京市海淀区中关村大街35号80</w:t>
      </w:r>
      <w:r>
        <w:rPr>
          <w:rFonts w:ascii="宋体" w:hAnsi="宋体" w:eastAsia="宋体"/>
          <w:b w:val="0"/>
          <w:bCs w:val="0"/>
          <w:color w:val="auto"/>
          <w:sz w:val="24"/>
          <w:szCs w:val="24"/>
        </w:rPr>
        <w:t>3</w:t>
      </w:r>
      <w:r>
        <w:rPr>
          <w:rFonts w:hint="eastAsia" w:ascii="宋体" w:hAnsi="宋体" w:eastAsia="宋体"/>
          <w:b w:val="0"/>
          <w:bCs w:val="0"/>
          <w:color w:val="auto"/>
          <w:sz w:val="24"/>
          <w:szCs w:val="24"/>
        </w:rPr>
        <w:t>室，教育部高等学校科学研究发展中心信息化研究发展处。</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4. 申请截止时间为20</w:t>
      </w:r>
      <w:r>
        <w:rPr>
          <w:rFonts w:ascii="宋体" w:hAnsi="宋体" w:eastAsia="宋体"/>
          <w:b w:val="0"/>
          <w:bCs w:val="0"/>
          <w:color w:val="auto"/>
          <w:sz w:val="24"/>
          <w:szCs w:val="24"/>
        </w:rPr>
        <w:t>2</w:t>
      </w:r>
      <w:r>
        <w:rPr>
          <w:rFonts w:hint="eastAsia" w:ascii="宋体" w:hAnsi="宋体" w:eastAsia="宋体"/>
          <w:b w:val="0"/>
          <w:bCs w:val="0"/>
          <w:color w:val="auto"/>
          <w:sz w:val="24"/>
          <w:szCs w:val="24"/>
        </w:rPr>
        <w:t>4年</w:t>
      </w:r>
      <w:r>
        <w:rPr>
          <w:rFonts w:ascii="宋体" w:hAnsi="宋体" w:eastAsia="宋体"/>
          <w:b w:val="0"/>
          <w:bCs w:val="0"/>
          <w:color w:val="auto"/>
          <w:sz w:val="24"/>
          <w:szCs w:val="24"/>
        </w:rPr>
        <w:t>4</w:t>
      </w:r>
      <w:r>
        <w:rPr>
          <w:rFonts w:hint="eastAsia" w:ascii="宋体" w:hAnsi="宋体" w:eastAsia="宋体"/>
          <w:b w:val="0"/>
          <w:bCs w:val="0"/>
          <w:color w:val="auto"/>
          <w:sz w:val="24"/>
          <w:szCs w:val="24"/>
        </w:rPr>
        <w:t>月30日，逾期不予受理。</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5. 课题的计划执行时间为</w:t>
      </w:r>
      <w:r>
        <w:rPr>
          <w:rFonts w:hint="eastAsia" w:ascii="宋体" w:hAnsi="宋体" w:eastAsia="宋体"/>
          <w:b w:val="0"/>
          <w:color w:val="auto"/>
          <w:sz w:val="24"/>
          <w:szCs w:val="24"/>
        </w:rPr>
        <w:t>2024年10月1日～2025年9月30日</w:t>
      </w:r>
      <w:r>
        <w:rPr>
          <w:rFonts w:hint="eastAsia" w:ascii="宋体" w:hAnsi="宋体" w:eastAsia="宋体"/>
          <w:b w:val="0"/>
          <w:bCs w:val="0"/>
          <w:color w:val="auto"/>
          <w:sz w:val="24"/>
          <w:szCs w:val="24"/>
        </w:rPr>
        <w:t>，可根据课题复杂程度适度延长执行周期，最长不超过两年。</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6. 每位申报人限报一项课题。</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7. 课题选题列表上的选题方向都不限定课题数量，但是如果存在内容重复的相似课题，专家组将根据课题组技术积累、课题方案、课题支撑条件等要素择优选择资助课题。</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8. 如果以联合课题组的形式申请课题，需要列明不同学校单位的课题任务。</w:t>
      </w:r>
    </w:p>
    <w:p>
      <w:pPr>
        <w:pStyle w:val="4"/>
        <w:numPr>
          <w:ilvl w:val="0"/>
          <w:numId w:val="0"/>
        </w:numPr>
        <w:spacing w:before="0" w:beforeLines="0" w:line="500" w:lineRule="exact"/>
        <w:ind w:firstLine="482" w:firstLineChars="200"/>
        <w:jc w:val="both"/>
        <w:rPr>
          <w:rFonts w:ascii="宋体" w:hAnsi="宋体" w:eastAsia="宋体"/>
        </w:rPr>
      </w:pPr>
      <w:r>
        <w:rPr>
          <w:rFonts w:hint="eastAsia" w:ascii="宋体" w:hAnsi="宋体" w:eastAsia="宋体"/>
          <w:bCs w:val="0"/>
          <w:sz w:val="24"/>
          <w:szCs w:val="24"/>
        </w:rPr>
        <w:t>9.</w:t>
      </w:r>
      <w:r>
        <w:rPr>
          <w:rFonts w:ascii="宋体" w:hAnsi="宋体" w:eastAsia="宋体"/>
          <w:bCs w:val="0"/>
          <w:sz w:val="24"/>
          <w:szCs w:val="24"/>
        </w:rPr>
        <w:t xml:space="preserve"> </w:t>
      </w:r>
      <w:r>
        <w:rPr>
          <w:rFonts w:hint="eastAsia" w:ascii="宋体" w:hAnsi="宋体" w:eastAsia="宋体"/>
          <w:bCs w:val="0"/>
          <w:sz w:val="24"/>
          <w:szCs w:val="24"/>
        </w:rPr>
        <w:t>课题申请人无需向资助企业额外购买配套设备或软件。</w:t>
      </w:r>
    </w:p>
    <w:p>
      <w:pPr>
        <w:spacing w:before="0" w:after="0" w:line="500" w:lineRule="exact"/>
        <w:ind w:left="420" w:firstLine="480"/>
        <w:rPr>
          <w:rFonts w:ascii="宋体" w:hAnsi="宋体"/>
          <w:sz w:val="24"/>
          <w:szCs w:val="24"/>
        </w:rPr>
      </w:pPr>
    </w:p>
    <w:p>
      <w:pPr>
        <w:pStyle w:val="4"/>
        <w:spacing w:before="0" w:beforeLines="0" w:line="500" w:lineRule="exact"/>
        <w:ind w:left="0" w:firstLine="560" w:firstLineChars="200"/>
      </w:pPr>
      <w:r>
        <w:rPr>
          <w:rFonts w:hint="eastAsia"/>
        </w:rPr>
        <w:t>联系人及联系方式</w:t>
      </w:r>
    </w:p>
    <w:p>
      <w:pPr>
        <w:spacing w:before="0" w:after="0" w:line="500" w:lineRule="exact"/>
        <w:ind w:firstLine="480"/>
        <w:jc w:val="left"/>
        <w:rPr>
          <w:rFonts w:ascii="宋体" w:hAnsi="宋体"/>
          <w:color w:val="auto"/>
          <w:sz w:val="24"/>
          <w:szCs w:val="24"/>
        </w:rPr>
      </w:pPr>
      <w:bookmarkStart w:id="0" w:name="_Hlk66311275"/>
      <w:r>
        <w:rPr>
          <w:rFonts w:hint="eastAsia" w:ascii="宋体" w:hAnsi="宋体"/>
          <w:color w:val="auto"/>
          <w:sz w:val="24"/>
          <w:szCs w:val="24"/>
        </w:rPr>
        <w:t>教育部高等学校科学研究发展中心联系人：</w:t>
      </w:r>
    </w:p>
    <w:p>
      <w:pPr>
        <w:spacing w:before="0" w:after="0" w:line="500" w:lineRule="exact"/>
        <w:ind w:firstLine="480"/>
        <w:jc w:val="left"/>
        <w:rPr>
          <w:rFonts w:ascii="宋体" w:hAnsi="宋体"/>
          <w:color w:val="auto"/>
          <w:sz w:val="24"/>
          <w:szCs w:val="24"/>
        </w:rPr>
      </w:pPr>
      <w:r>
        <w:rPr>
          <w:rFonts w:hint="eastAsia" w:ascii="宋体" w:hAnsi="宋体"/>
          <w:color w:val="auto"/>
          <w:sz w:val="24"/>
          <w:szCs w:val="24"/>
        </w:rPr>
        <w:t>张  杰     电话：010-62514689</w:t>
      </w:r>
      <w:bookmarkEnd w:id="0"/>
    </w:p>
    <w:p>
      <w:pPr>
        <w:spacing w:before="0" w:after="0" w:line="500" w:lineRule="exact"/>
        <w:ind w:firstLine="480"/>
        <w:rPr>
          <w:rFonts w:ascii="宋体" w:hAnsi="宋体"/>
          <w:color w:val="auto"/>
          <w:sz w:val="24"/>
          <w:szCs w:val="24"/>
        </w:rPr>
      </w:pPr>
      <w:r>
        <w:rPr>
          <w:rFonts w:hint="eastAsia" w:ascii="宋体" w:hAnsi="宋体"/>
          <w:color w:val="auto"/>
          <w:sz w:val="24"/>
          <w:szCs w:val="24"/>
        </w:rPr>
        <w:t>正保网中网企业联系人：</w:t>
      </w:r>
    </w:p>
    <w:p>
      <w:pPr>
        <w:spacing w:before="0" w:after="0" w:line="500" w:lineRule="exact"/>
        <w:ind w:firstLine="480"/>
        <w:rPr>
          <w:rFonts w:ascii="宋体" w:hAnsi="宋体"/>
          <w:color w:val="auto"/>
          <w:sz w:val="24"/>
          <w:szCs w:val="24"/>
        </w:rPr>
      </w:pPr>
      <w:r>
        <w:rPr>
          <w:rFonts w:hint="eastAsia" w:ascii="宋体" w:hAnsi="宋体"/>
          <w:color w:val="auto"/>
          <w:sz w:val="24"/>
          <w:szCs w:val="24"/>
        </w:rPr>
        <w:t>许老师   电话：0592-3727687 邮箱：xuqg@netinnet.cn</w:t>
      </w:r>
    </w:p>
    <w:p>
      <w:pPr>
        <w:spacing w:before="0" w:after="0" w:line="500" w:lineRule="exact"/>
        <w:ind w:firstLine="480"/>
        <w:rPr>
          <w:rFonts w:ascii="宋体" w:hAnsi="宋体"/>
          <w:color w:val="auto"/>
          <w:sz w:val="24"/>
          <w:szCs w:val="24"/>
        </w:rPr>
      </w:pPr>
      <w:r>
        <w:rPr>
          <w:rFonts w:hint="eastAsia" w:ascii="宋体" w:hAnsi="宋体"/>
          <w:color w:val="auto"/>
          <w:sz w:val="24"/>
          <w:szCs w:val="24"/>
        </w:rPr>
        <w:t>王老师   电话：18965185205  邮箱：wangyf@netinnet.cn</w:t>
      </w:r>
    </w:p>
    <w:p>
      <w:pPr>
        <w:spacing w:before="0" w:after="0" w:line="500" w:lineRule="exact"/>
        <w:ind w:firstLine="480"/>
        <w:rPr>
          <w:rFonts w:ascii="宋体" w:hAnsi="宋体"/>
          <w:color w:val="auto"/>
          <w:sz w:val="24"/>
          <w:szCs w:val="24"/>
        </w:rPr>
      </w:pPr>
      <w:r>
        <w:rPr>
          <w:rFonts w:hint="eastAsia" w:ascii="宋体" w:hAnsi="宋体"/>
          <w:color w:val="auto"/>
          <w:sz w:val="24"/>
          <w:szCs w:val="24"/>
        </w:rPr>
        <w:t>曹老师   电话：18760475156  邮箱：caoxt@netinnet.cn</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4"/>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MzUxYWYyYjNmZGVkZDUwNDFkNGY5MzBmZmM2MWUifQ=="/>
  </w:docVars>
  <w:rsids>
    <w:rsidRoot w:val="00187D73"/>
    <w:rsid w:val="00000DB8"/>
    <w:rsid w:val="000018B3"/>
    <w:rsid w:val="00001D09"/>
    <w:rsid w:val="00002AC8"/>
    <w:rsid w:val="00004078"/>
    <w:rsid w:val="000068C5"/>
    <w:rsid w:val="00006D29"/>
    <w:rsid w:val="0000754B"/>
    <w:rsid w:val="000117D0"/>
    <w:rsid w:val="00011FEF"/>
    <w:rsid w:val="000120C3"/>
    <w:rsid w:val="0001282C"/>
    <w:rsid w:val="00013859"/>
    <w:rsid w:val="000138C7"/>
    <w:rsid w:val="0001569C"/>
    <w:rsid w:val="000156FC"/>
    <w:rsid w:val="000170B3"/>
    <w:rsid w:val="000175AD"/>
    <w:rsid w:val="0001776F"/>
    <w:rsid w:val="00020BD4"/>
    <w:rsid w:val="00020DD7"/>
    <w:rsid w:val="00023507"/>
    <w:rsid w:val="00024715"/>
    <w:rsid w:val="00024AC6"/>
    <w:rsid w:val="0002696B"/>
    <w:rsid w:val="00031804"/>
    <w:rsid w:val="00033EF6"/>
    <w:rsid w:val="000343A4"/>
    <w:rsid w:val="00034DB5"/>
    <w:rsid w:val="00035B78"/>
    <w:rsid w:val="00037C44"/>
    <w:rsid w:val="00040999"/>
    <w:rsid w:val="00040CD3"/>
    <w:rsid w:val="00041095"/>
    <w:rsid w:val="0004113E"/>
    <w:rsid w:val="00042A52"/>
    <w:rsid w:val="00042B55"/>
    <w:rsid w:val="00042E78"/>
    <w:rsid w:val="0004353E"/>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69BD"/>
    <w:rsid w:val="0005724A"/>
    <w:rsid w:val="00057680"/>
    <w:rsid w:val="000577E3"/>
    <w:rsid w:val="00057BB1"/>
    <w:rsid w:val="000601F9"/>
    <w:rsid w:val="00060636"/>
    <w:rsid w:val="00061753"/>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455C"/>
    <w:rsid w:val="0008609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14B0"/>
    <w:rsid w:val="000B29E0"/>
    <w:rsid w:val="000B48CC"/>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015"/>
    <w:rsid w:val="00114688"/>
    <w:rsid w:val="0011568F"/>
    <w:rsid w:val="001177C0"/>
    <w:rsid w:val="001177C4"/>
    <w:rsid w:val="00120AC9"/>
    <w:rsid w:val="00121103"/>
    <w:rsid w:val="00121758"/>
    <w:rsid w:val="00121E83"/>
    <w:rsid w:val="0012266F"/>
    <w:rsid w:val="00122C5E"/>
    <w:rsid w:val="00123E16"/>
    <w:rsid w:val="001243E1"/>
    <w:rsid w:val="001243FD"/>
    <w:rsid w:val="001257BA"/>
    <w:rsid w:val="00127EC1"/>
    <w:rsid w:val="001304CB"/>
    <w:rsid w:val="001306DC"/>
    <w:rsid w:val="00131018"/>
    <w:rsid w:val="00132E56"/>
    <w:rsid w:val="00133181"/>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5DB1"/>
    <w:rsid w:val="00146BAC"/>
    <w:rsid w:val="00150E34"/>
    <w:rsid w:val="00152BA9"/>
    <w:rsid w:val="001530EF"/>
    <w:rsid w:val="00153767"/>
    <w:rsid w:val="00154D6B"/>
    <w:rsid w:val="00161712"/>
    <w:rsid w:val="00161D72"/>
    <w:rsid w:val="00162161"/>
    <w:rsid w:val="00162435"/>
    <w:rsid w:val="001644B0"/>
    <w:rsid w:val="00164AA6"/>
    <w:rsid w:val="0016578D"/>
    <w:rsid w:val="001664B6"/>
    <w:rsid w:val="001669EE"/>
    <w:rsid w:val="00166BC8"/>
    <w:rsid w:val="00171BAA"/>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6D5D"/>
    <w:rsid w:val="001A7284"/>
    <w:rsid w:val="001A74E0"/>
    <w:rsid w:val="001B0E32"/>
    <w:rsid w:val="001B1B55"/>
    <w:rsid w:val="001B3111"/>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7B2"/>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53E7"/>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391D"/>
    <w:rsid w:val="002147DE"/>
    <w:rsid w:val="002149CA"/>
    <w:rsid w:val="00214EDE"/>
    <w:rsid w:val="00215E90"/>
    <w:rsid w:val="0021611F"/>
    <w:rsid w:val="00216734"/>
    <w:rsid w:val="00216954"/>
    <w:rsid w:val="0022159D"/>
    <w:rsid w:val="002230E5"/>
    <w:rsid w:val="002237F4"/>
    <w:rsid w:val="00224297"/>
    <w:rsid w:val="00225818"/>
    <w:rsid w:val="002266B1"/>
    <w:rsid w:val="00226855"/>
    <w:rsid w:val="002301A9"/>
    <w:rsid w:val="00230624"/>
    <w:rsid w:val="0023076B"/>
    <w:rsid w:val="00233A3E"/>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3A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755"/>
    <w:rsid w:val="00270E8F"/>
    <w:rsid w:val="00274E3E"/>
    <w:rsid w:val="0027528A"/>
    <w:rsid w:val="00275E5E"/>
    <w:rsid w:val="00282D7E"/>
    <w:rsid w:val="00283844"/>
    <w:rsid w:val="002838EB"/>
    <w:rsid w:val="002871DE"/>
    <w:rsid w:val="00290595"/>
    <w:rsid w:val="0029099B"/>
    <w:rsid w:val="00291EA9"/>
    <w:rsid w:val="00291FE8"/>
    <w:rsid w:val="00292E96"/>
    <w:rsid w:val="0029369D"/>
    <w:rsid w:val="00294588"/>
    <w:rsid w:val="00294CA5"/>
    <w:rsid w:val="00294CFC"/>
    <w:rsid w:val="00295E21"/>
    <w:rsid w:val="00295F6D"/>
    <w:rsid w:val="002A0CB9"/>
    <w:rsid w:val="002A0D00"/>
    <w:rsid w:val="002A1B3B"/>
    <w:rsid w:val="002A1D68"/>
    <w:rsid w:val="002A2E30"/>
    <w:rsid w:val="002A31E5"/>
    <w:rsid w:val="002A34D7"/>
    <w:rsid w:val="002A391A"/>
    <w:rsid w:val="002A3C20"/>
    <w:rsid w:val="002A6BCE"/>
    <w:rsid w:val="002B0E77"/>
    <w:rsid w:val="002B1439"/>
    <w:rsid w:val="002B169F"/>
    <w:rsid w:val="002B2939"/>
    <w:rsid w:val="002B2AA1"/>
    <w:rsid w:val="002B3639"/>
    <w:rsid w:val="002B4D64"/>
    <w:rsid w:val="002B57D1"/>
    <w:rsid w:val="002C039D"/>
    <w:rsid w:val="002C058E"/>
    <w:rsid w:val="002C2286"/>
    <w:rsid w:val="002C2AE5"/>
    <w:rsid w:val="002C372C"/>
    <w:rsid w:val="002C4AC4"/>
    <w:rsid w:val="002C5B06"/>
    <w:rsid w:val="002C5DDD"/>
    <w:rsid w:val="002C63E3"/>
    <w:rsid w:val="002C7280"/>
    <w:rsid w:val="002C76A4"/>
    <w:rsid w:val="002C7D06"/>
    <w:rsid w:val="002D11F6"/>
    <w:rsid w:val="002D1351"/>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5C9E"/>
    <w:rsid w:val="002F5E69"/>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254"/>
    <w:rsid w:val="003377A3"/>
    <w:rsid w:val="003403E5"/>
    <w:rsid w:val="00340F2F"/>
    <w:rsid w:val="003422D3"/>
    <w:rsid w:val="00344E0B"/>
    <w:rsid w:val="00346921"/>
    <w:rsid w:val="00346C99"/>
    <w:rsid w:val="0034772A"/>
    <w:rsid w:val="00350074"/>
    <w:rsid w:val="00350A1E"/>
    <w:rsid w:val="003525F1"/>
    <w:rsid w:val="0035299B"/>
    <w:rsid w:val="003548D9"/>
    <w:rsid w:val="00356B38"/>
    <w:rsid w:val="003570B6"/>
    <w:rsid w:val="00361299"/>
    <w:rsid w:val="00361963"/>
    <w:rsid w:val="00361C29"/>
    <w:rsid w:val="00361F6B"/>
    <w:rsid w:val="003621DC"/>
    <w:rsid w:val="00362383"/>
    <w:rsid w:val="003632A9"/>
    <w:rsid w:val="00363767"/>
    <w:rsid w:val="00363942"/>
    <w:rsid w:val="00363E52"/>
    <w:rsid w:val="003641B5"/>
    <w:rsid w:val="00367162"/>
    <w:rsid w:val="003678EE"/>
    <w:rsid w:val="00367E60"/>
    <w:rsid w:val="00373BA0"/>
    <w:rsid w:val="00373BBC"/>
    <w:rsid w:val="0037499D"/>
    <w:rsid w:val="003758DF"/>
    <w:rsid w:val="00377CF7"/>
    <w:rsid w:val="00382A7D"/>
    <w:rsid w:val="00382D8C"/>
    <w:rsid w:val="003834A3"/>
    <w:rsid w:val="00391F9F"/>
    <w:rsid w:val="00392361"/>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4E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D2797"/>
    <w:rsid w:val="003D3BC4"/>
    <w:rsid w:val="003D3E5A"/>
    <w:rsid w:val="003D40B2"/>
    <w:rsid w:val="003D4649"/>
    <w:rsid w:val="003D4EA3"/>
    <w:rsid w:val="003D5C1E"/>
    <w:rsid w:val="003D6376"/>
    <w:rsid w:val="003D7245"/>
    <w:rsid w:val="003D7DFE"/>
    <w:rsid w:val="003E0393"/>
    <w:rsid w:val="003E1A8D"/>
    <w:rsid w:val="003E20EF"/>
    <w:rsid w:val="003E3A6E"/>
    <w:rsid w:val="003E4014"/>
    <w:rsid w:val="003E4847"/>
    <w:rsid w:val="003E5E1B"/>
    <w:rsid w:val="003E60CE"/>
    <w:rsid w:val="003E6C1B"/>
    <w:rsid w:val="003E6DDF"/>
    <w:rsid w:val="003F003E"/>
    <w:rsid w:val="003F10E6"/>
    <w:rsid w:val="003F2F98"/>
    <w:rsid w:val="003F3AF9"/>
    <w:rsid w:val="003F3BB6"/>
    <w:rsid w:val="003F70F5"/>
    <w:rsid w:val="003F7214"/>
    <w:rsid w:val="00400585"/>
    <w:rsid w:val="00400CD6"/>
    <w:rsid w:val="004014CD"/>
    <w:rsid w:val="004016D0"/>
    <w:rsid w:val="00401EB4"/>
    <w:rsid w:val="00402475"/>
    <w:rsid w:val="00403620"/>
    <w:rsid w:val="00404164"/>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5553"/>
    <w:rsid w:val="004378EF"/>
    <w:rsid w:val="00441359"/>
    <w:rsid w:val="0044258D"/>
    <w:rsid w:val="0044305D"/>
    <w:rsid w:val="004435D4"/>
    <w:rsid w:val="00443832"/>
    <w:rsid w:val="004438D8"/>
    <w:rsid w:val="00443A8E"/>
    <w:rsid w:val="00444B82"/>
    <w:rsid w:val="004452D5"/>
    <w:rsid w:val="004516B9"/>
    <w:rsid w:val="0045191E"/>
    <w:rsid w:val="004547B0"/>
    <w:rsid w:val="00454F62"/>
    <w:rsid w:val="00455378"/>
    <w:rsid w:val="00455840"/>
    <w:rsid w:val="0045772C"/>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4EA0"/>
    <w:rsid w:val="004774A9"/>
    <w:rsid w:val="00477C6A"/>
    <w:rsid w:val="00477E99"/>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1249"/>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1394"/>
    <w:rsid w:val="004C341A"/>
    <w:rsid w:val="004C362F"/>
    <w:rsid w:val="004C3A45"/>
    <w:rsid w:val="004C3E83"/>
    <w:rsid w:val="004C4B55"/>
    <w:rsid w:val="004C4FA3"/>
    <w:rsid w:val="004C5978"/>
    <w:rsid w:val="004C687F"/>
    <w:rsid w:val="004C717B"/>
    <w:rsid w:val="004C7DDC"/>
    <w:rsid w:val="004D0A38"/>
    <w:rsid w:val="004D0A8F"/>
    <w:rsid w:val="004D17A0"/>
    <w:rsid w:val="004D2DE1"/>
    <w:rsid w:val="004D4D09"/>
    <w:rsid w:val="004D5025"/>
    <w:rsid w:val="004D5549"/>
    <w:rsid w:val="004D7013"/>
    <w:rsid w:val="004D7924"/>
    <w:rsid w:val="004E1A3B"/>
    <w:rsid w:val="004E2C7D"/>
    <w:rsid w:val="004E3183"/>
    <w:rsid w:val="004E3292"/>
    <w:rsid w:val="004E3D2C"/>
    <w:rsid w:val="004E3D2E"/>
    <w:rsid w:val="004E4F9C"/>
    <w:rsid w:val="004E7753"/>
    <w:rsid w:val="004F085A"/>
    <w:rsid w:val="004F127A"/>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6FF2"/>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DB9"/>
    <w:rsid w:val="00544954"/>
    <w:rsid w:val="00545731"/>
    <w:rsid w:val="00547454"/>
    <w:rsid w:val="00547BBB"/>
    <w:rsid w:val="00550070"/>
    <w:rsid w:val="0055051A"/>
    <w:rsid w:val="005515AC"/>
    <w:rsid w:val="005534BC"/>
    <w:rsid w:val="00554FCF"/>
    <w:rsid w:val="00555268"/>
    <w:rsid w:val="005553B1"/>
    <w:rsid w:val="00555811"/>
    <w:rsid w:val="005558E3"/>
    <w:rsid w:val="00560CAF"/>
    <w:rsid w:val="005621CC"/>
    <w:rsid w:val="0056248E"/>
    <w:rsid w:val="005640CE"/>
    <w:rsid w:val="0056632D"/>
    <w:rsid w:val="00566E17"/>
    <w:rsid w:val="0056735A"/>
    <w:rsid w:val="00571442"/>
    <w:rsid w:val="00571531"/>
    <w:rsid w:val="0057318A"/>
    <w:rsid w:val="00573560"/>
    <w:rsid w:val="00574E69"/>
    <w:rsid w:val="005752B0"/>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58B7"/>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B7917"/>
    <w:rsid w:val="005C0865"/>
    <w:rsid w:val="005C0DD3"/>
    <w:rsid w:val="005C466A"/>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5EC"/>
    <w:rsid w:val="005D2603"/>
    <w:rsid w:val="005D2CDB"/>
    <w:rsid w:val="005D3037"/>
    <w:rsid w:val="005D36FF"/>
    <w:rsid w:val="005D3758"/>
    <w:rsid w:val="005D3E7B"/>
    <w:rsid w:val="005D5F5E"/>
    <w:rsid w:val="005D6489"/>
    <w:rsid w:val="005D72E9"/>
    <w:rsid w:val="005E1760"/>
    <w:rsid w:val="005E1B53"/>
    <w:rsid w:val="005E2757"/>
    <w:rsid w:val="005E3704"/>
    <w:rsid w:val="005E5488"/>
    <w:rsid w:val="005E5B75"/>
    <w:rsid w:val="005E5E9A"/>
    <w:rsid w:val="005E660B"/>
    <w:rsid w:val="005E6758"/>
    <w:rsid w:val="005E695E"/>
    <w:rsid w:val="005E7231"/>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1657D"/>
    <w:rsid w:val="00621664"/>
    <w:rsid w:val="006228EE"/>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12D"/>
    <w:rsid w:val="006537A6"/>
    <w:rsid w:val="006543F5"/>
    <w:rsid w:val="00654720"/>
    <w:rsid w:val="00655454"/>
    <w:rsid w:val="006554CC"/>
    <w:rsid w:val="0065672D"/>
    <w:rsid w:val="00656AA8"/>
    <w:rsid w:val="00656E8B"/>
    <w:rsid w:val="00660DC7"/>
    <w:rsid w:val="006610A7"/>
    <w:rsid w:val="00661681"/>
    <w:rsid w:val="00661E8B"/>
    <w:rsid w:val="006634AC"/>
    <w:rsid w:val="00663648"/>
    <w:rsid w:val="00663B59"/>
    <w:rsid w:val="006649B5"/>
    <w:rsid w:val="006651D6"/>
    <w:rsid w:val="006653CB"/>
    <w:rsid w:val="00665630"/>
    <w:rsid w:val="00666EB6"/>
    <w:rsid w:val="00670940"/>
    <w:rsid w:val="006712BF"/>
    <w:rsid w:val="00675908"/>
    <w:rsid w:val="00676554"/>
    <w:rsid w:val="006772E8"/>
    <w:rsid w:val="0067779B"/>
    <w:rsid w:val="00680117"/>
    <w:rsid w:val="0068070D"/>
    <w:rsid w:val="00680B0C"/>
    <w:rsid w:val="00680B1E"/>
    <w:rsid w:val="00680C74"/>
    <w:rsid w:val="00681F1F"/>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0CE"/>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B7D"/>
    <w:rsid w:val="006C6FF7"/>
    <w:rsid w:val="006D185C"/>
    <w:rsid w:val="006D1B51"/>
    <w:rsid w:val="006D21BE"/>
    <w:rsid w:val="006D2AF0"/>
    <w:rsid w:val="006D3854"/>
    <w:rsid w:val="006D5F99"/>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3E06"/>
    <w:rsid w:val="006F42ED"/>
    <w:rsid w:val="006F507B"/>
    <w:rsid w:val="006F51B7"/>
    <w:rsid w:val="006F565F"/>
    <w:rsid w:val="006F61AB"/>
    <w:rsid w:val="0070174F"/>
    <w:rsid w:val="00701F2C"/>
    <w:rsid w:val="00702F37"/>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844"/>
    <w:rsid w:val="00713AAB"/>
    <w:rsid w:val="00713BA7"/>
    <w:rsid w:val="00714123"/>
    <w:rsid w:val="0071422C"/>
    <w:rsid w:val="007161AD"/>
    <w:rsid w:val="007167A3"/>
    <w:rsid w:val="00716C15"/>
    <w:rsid w:val="00722228"/>
    <w:rsid w:val="0072264B"/>
    <w:rsid w:val="007227E4"/>
    <w:rsid w:val="007229BF"/>
    <w:rsid w:val="007231BA"/>
    <w:rsid w:val="00724A9C"/>
    <w:rsid w:val="00725965"/>
    <w:rsid w:val="00726D72"/>
    <w:rsid w:val="00730B2B"/>
    <w:rsid w:val="00730CB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E8"/>
    <w:rsid w:val="00747CFF"/>
    <w:rsid w:val="00750981"/>
    <w:rsid w:val="00751665"/>
    <w:rsid w:val="00751C7D"/>
    <w:rsid w:val="007520F4"/>
    <w:rsid w:val="00752634"/>
    <w:rsid w:val="00752653"/>
    <w:rsid w:val="007528A3"/>
    <w:rsid w:val="00752A9A"/>
    <w:rsid w:val="00752B6C"/>
    <w:rsid w:val="0075483C"/>
    <w:rsid w:val="00754937"/>
    <w:rsid w:val="0075695C"/>
    <w:rsid w:val="00757351"/>
    <w:rsid w:val="00757C4E"/>
    <w:rsid w:val="00761665"/>
    <w:rsid w:val="00767F80"/>
    <w:rsid w:val="00773890"/>
    <w:rsid w:val="00773C08"/>
    <w:rsid w:val="00774462"/>
    <w:rsid w:val="007779A2"/>
    <w:rsid w:val="007805EF"/>
    <w:rsid w:val="007807AF"/>
    <w:rsid w:val="00780DCF"/>
    <w:rsid w:val="0078103F"/>
    <w:rsid w:val="007834F6"/>
    <w:rsid w:val="00784FE9"/>
    <w:rsid w:val="0079035D"/>
    <w:rsid w:val="00791FF0"/>
    <w:rsid w:val="00793CCE"/>
    <w:rsid w:val="00794EAA"/>
    <w:rsid w:val="00795912"/>
    <w:rsid w:val="00795DDC"/>
    <w:rsid w:val="00796C8F"/>
    <w:rsid w:val="00796E52"/>
    <w:rsid w:val="007970AD"/>
    <w:rsid w:val="007970CE"/>
    <w:rsid w:val="007974AF"/>
    <w:rsid w:val="007A0DD3"/>
    <w:rsid w:val="007A1372"/>
    <w:rsid w:val="007A13A5"/>
    <w:rsid w:val="007A1580"/>
    <w:rsid w:val="007A18C0"/>
    <w:rsid w:val="007A2899"/>
    <w:rsid w:val="007A3941"/>
    <w:rsid w:val="007A5CC0"/>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2581"/>
    <w:rsid w:val="007D3CC6"/>
    <w:rsid w:val="007D405F"/>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F11B5"/>
    <w:rsid w:val="007F22C7"/>
    <w:rsid w:val="007F2A49"/>
    <w:rsid w:val="007F2DFB"/>
    <w:rsid w:val="007F3C71"/>
    <w:rsid w:val="007F4F1D"/>
    <w:rsid w:val="007F502F"/>
    <w:rsid w:val="007F5229"/>
    <w:rsid w:val="007F5940"/>
    <w:rsid w:val="007F5F30"/>
    <w:rsid w:val="007F609F"/>
    <w:rsid w:val="007F60D8"/>
    <w:rsid w:val="007F6C23"/>
    <w:rsid w:val="007F6C29"/>
    <w:rsid w:val="007F73B5"/>
    <w:rsid w:val="008000B3"/>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379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104D"/>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2416"/>
    <w:rsid w:val="00873050"/>
    <w:rsid w:val="00873537"/>
    <w:rsid w:val="008739A2"/>
    <w:rsid w:val="00874EC0"/>
    <w:rsid w:val="00875F33"/>
    <w:rsid w:val="0087796D"/>
    <w:rsid w:val="00877AD1"/>
    <w:rsid w:val="00877B04"/>
    <w:rsid w:val="008802B4"/>
    <w:rsid w:val="0088049C"/>
    <w:rsid w:val="008814B7"/>
    <w:rsid w:val="0088282A"/>
    <w:rsid w:val="00883AB9"/>
    <w:rsid w:val="00884426"/>
    <w:rsid w:val="008852F3"/>
    <w:rsid w:val="00885811"/>
    <w:rsid w:val="0088689C"/>
    <w:rsid w:val="0088723E"/>
    <w:rsid w:val="00887644"/>
    <w:rsid w:val="00891583"/>
    <w:rsid w:val="00891D36"/>
    <w:rsid w:val="00892424"/>
    <w:rsid w:val="008933E5"/>
    <w:rsid w:val="008934B8"/>
    <w:rsid w:val="008946DD"/>
    <w:rsid w:val="00895E0C"/>
    <w:rsid w:val="00896979"/>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5D27"/>
    <w:rsid w:val="008B635E"/>
    <w:rsid w:val="008B733D"/>
    <w:rsid w:val="008C0005"/>
    <w:rsid w:val="008C0047"/>
    <w:rsid w:val="008C025D"/>
    <w:rsid w:val="008C02AD"/>
    <w:rsid w:val="008C041E"/>
    <w:rsid w:val="008C0A4E"/>
    <w:rsid w:val="008C0D6E"/>
    <w:rsid w:val="008C3BC8"/>
    <w:rsid w:val="008C4C25"/>
    <w:rsid w:val="008C64A8"/>
    <w:rsid w:val="008C778F"/>
    <w:rsid w:val="008C7A1E"/>
    <w:rsid w:val="008D00D7"/>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FE4"/>
    <w:rsid w:val="008E5307"/>
    <w:rsid w:val="008F019A"/>
    <w:rsid w:val="008F0858"/>
    <w:rsid w:val="008F14BF"/>
    <w:rsid w:val="008F16E4"/>
    <w:rsid w:val="008F2074"/>
    <w:rsid w:val="008F2C6F"/>
    <w:rsid w:val="008F3066"/>
    <w:rsid w:val="008F433A"/>
    <w:rsid w:val="008F459C"/>
    <w:rsid w:val="008F4CCA"/>
    <w:rsid w:val="008F7D76"/>
    <w:rsid w:val="009002BB"/>
    <w:rsid w:val="0090058F"/>
    <w:rsid w:val="009009E1"/>
    <w:rsid w:val="009015B7"/>
    <w:rsid w:val="00901C19"/>
    <w:rsid w:val="009023A4"/>
    <w:rsid w:val="00902EFC"/>
    <w:rsid w:val="009034F6"/>
    <w:rsid w:val="00903B4C"/>
    <w:rsid w:val="00904830"/>
    <w:rsid w:val="00905B27"/>
    <w:rsid w:val="00906308"/>
    <w:rsid w:val="009071EA"/>
    <w:rsid w:val="00907412"/>
    <w:rsid w:val="00907BC2"/>
    <w:rsid w:val="00907E4B"/>
    <w:rsid w:val="00911A6D"/>
    <w:rsid w:val="00914E9E"/>
    <w:rsid w:val="009172D6"/>
    <w:rsid w:val="009174B5"/>
    <w:rsid w:val="00917861"/>
    <w:rsid w:val="00920143"/>
    <w:rsid w:val="00920BF1"/>
    <w:rsid w:val="00920F90"/>
    <w:rsid w:val="00921986"/>
    <w:rsid w:val="009225C5"/>
    <w:rsid w:val="00922E9F"/>
    <w:rsid w:val="009234CD"/>
    <w:rsid w:val="009238DC"/>
    <w:rsid w:val="00924516"/>
    <w:rsid w:val="009257F4"/>
    <w:rsid w:val="009259D3"/>
    <w:rsid w:val="00926512"/>
    <w:rsid w:val="00926E53"/>
    <w:rsid w:val="00931128"/>
    <w:rsid w:val="0093222E"/>
    <w:rsid w:val="00932256"/>
    <w:rsid w:val="0093256B"/>
    <w:rsid w:val="009330B0"/>
    <w:rsid w:val="009347B7"/>
    <w:rsid w:val="009364E4"/>
    <w:rsid w:val="00936D6B"/>
    <w:rsid w:val="00941195"/>
    <w:rsid w:val="009419EB"/>
    <w:rsid w:val="00942BEB"/>
    <w:rsid w:val="00943AF7"/>
    <w:rsid w:val="00943C2D"/>
    <w:rsid w:val="0094423D"/>
    <w:rsid w:val="00944CB2"/>
    <w:rsid w:val="00951838"/>
    <w:rsid w:val="00951850"/>
    <w:rsid w:val="00951961"/>
    <w:rsid w:val="00952F9C"/>
    <w:rsid w:val="00953112"/>
    <w:rsid w:val="0095317C"/>
    <w:rsid w:val="00953FE8"/>
    <w:rsid w:val="00954927"/>
    <w:rsid w:val="00955009"/>
    <w:rsid w:val="009556BA"/>
    <w:rsid w:val="0095636B"/>
    <w:rsid w:val="00956CAE"/>
    <w:rsid w:val="00957EB9"/>
    <w:rsid w:val="009637DB"/>
    <w:rsid w:val="00964518"/>
    <w:rsid w:val="00966BC5"/>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60AB"/>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2F5B"/>
    <w:rsid w:val="009B3291"/>
    <w:rsid w:val="009B34D3"/>
    <w:rsid w:val="009B50A8"/>
    <w:rsid w:val="009B52C0"/>
    <w:rsid w:val="009B5964"/>
    <w:rsid w:val="009B609C"/>
    <w:rsid w:val="009B663E"/>
    <w:rsid w:val="009B787D"/>
    <w:rsid w:val="009C085A"/>
    <w:rsid w:val="009C3DC1"/>
    <w:rsid w:val="009C415B"/>
    <w:rsid w:val="009C50FE"/>
    <w:rsid w:val="009C59D5"/>
    <w:rsid w:val="009C6120"/>
    <w:rsid w:val="009C661E"/>
    <w:rsid w:val="009C73A6"/>
    <w:rsid w:val="009C75B5"/>
    <w:rsid w:val="009C7A50"/>
    <w:rsid w:val="009C7B37"/>
    <w:rsid w:val="009C7EF0"/>
    <w:rsid w:val="009C7F14"/>
    <w:rsid w:val="009D0481"/>
    <w:rsid w:val="009D1D2D"/>
    <w:rsid w:val="009D1E1C"/>
    <w:rsid w:val="009D2824"/>
    <w:rsid w:val="009D3C69"/>
    <w:rsid w:val="009D502B"/>
    <w:rsid w:val="009D65FD"/>
    <w:rsid w:val="009D672E"/>
    <w:rsid w:val="009E083B"/>
    <w:rsid w:val="009E14B9"/>
    <w:rsid w:val="009E193F"/>
    <w:rsid w:val="009E3304"/>
    <w:rsid w:val="009E334A"/>
    <w:rsid w:val="009E47DA"/>
    <w:rsid w:val="009E6070"/>
    <w:rsid w:val="009E61F6"/>
    <w:rsid w:val="009E682B"/>
    <w:rsid w:val="009E7941"/>
    <w:rsid w:val="009E7D0F"/>
    <w:rsid w:val="009F26EE"/>
    <w:rsid w:val="009F2ACF"/>
    <w:rsid w:val="009F475D"/>
    <w:rsid w:val="00A01052"/>
    <w:rsid w:val="00A01121"/>
    <w:rsid w:val="00A0201F"/>
    <w:rsid w:val="00A03A68"/>
    <w:rsid w:val="00A07C16"/>
    <w:rsid w:val="00A110EB"/>
    <w:rsid w:val="00A11777"/>
    <w:rsid w:val="00A11C7E"/>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C54"/>
    <w:rsid w:val="00A30D70"/>
    <w:rsid w:val="00A34A4F"/>
    <w:rsid w:val="00A34CD9"/>
    <w:rsid w:val="00A34DB1"/>
    <w:rsid w:val="00A353AB"/>
    <w:rsid w:val="00A35FE5"/>
    <w:rsid w:val="00A360C3"/>
    <w:rsid w:val="00A3656C"/>
    <w:rsid w:val="00A36B75"/>
    <w:rsid w:val="00A3777B"/>
    <w:rsid w:val="00A413AC"/>
    <w:rsid w:val="00A43C1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5B1C"/>
    <w:rsid w:val="00A965DF"/>
    <w:rsid w:val="00A96AD8"/>
    <w:rsid w:val="00A96B0B"/>
    <w:rsid w:val="00A96BFF"/>
    <w:rsid w:val="00A96CE2"/>
    <w:rsid w:val="00AA2DCA"/>
    <w:rsid w:val="00AA2E48"/>
    <w:rsid w:val="00AA2E98"/>
    <w:rsid w:val="00AA3037"/>
    <w:rsid w:val="00AA3201"/>
    <w:rsid w:val="00AA4292"/>
    <w:rsid w:val="00AA58E0"/>
    <w:rsid w:val="00AB03D9"/>
    <w:rsid w:val="00AB1AE6"/>
    <w:rsid w:val="00AB21F2"/>
    <w:rsid w:val="00AB247C"/>
    <w:rsid w:val="00AB2E1F"/>
    <w:rsid w:val="00AB2E79"/>
    <w:rsid w:val="00AB3E82"/>
    <w:rsid w:val="00AB3ECE"/>
    <w:rsid w:val="00AB491D"/>
    <w:rsid w:val="00AB5BB6"/>
    <w:rsid w:val="00AB6285"/>
    <w:rsid w:val="00AB6F74"/>
    <w:rsid w:val="00AC05B7"/>
    <w:rsid w:val="00AC13BD"/>
    <w:rsid w:val="00AC1478"/>
    <w:rsid w:val="00AC1DE0"/>
    <w:rsid w:val="00AC362B"/>
    <w:rsid w:val="00AC3807"/>
    <w:rsid w:val="00AC47DD"/>
    <w:rsid w:val="00AC590C"/>
    <w:rsid w:val="00AC5A47"/>
    <w:rsid w:val="00AC69EB"/>
    <w:rsid w:val="00AC7EEE"/>
    <w:rsid w:val="00AD1C5A"/>
    <w:rsid w:val="00AD2F04"/>
    <w:rsid w:val="00AD3032"/>
    <w:rsid w:val="00AD3126"/>
    <w:rsid w:val="00AD3E68"/>
    <w:rsid w:val="00AD4579"/>
    <w:rsid w:val="00AD458E"/>
    <w:rsid w:val="00AD5B56"/>
    <w:rsid w:val="00AE4C32"/>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AE7"/>
    <w:rsid w:val="00B06CED"/>
    <w:rsid w:val="00B07CE2"/>
    <w:rsid w:val="00B101CB"/>
    <w:rsid w:val="00B11712"/>
    <w:rsid w:val="00B121D5"/>
    <w:rsid w:val="00B12A42"/>
    <w:rsid w:val="00B13F98"/>
    <w:rsid w:val="00B14C74"/>
    <w:rsid w:val="00B14CAB"/>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17A1"/>
    <w:rsid w:val="00B526A9"/>
    <w:rsid w:val="00B550A3"/>
    <w:rsid w:val="00B601AF"/>
    <w:rsid w:val="00B60637"/>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0A9"/>
    <w:rsid w:val="00B76A59"/>
    <w:rsid w:val="00B777DD"/>
    <w:rsid w:val="00B80009"/>
    <w:rsid w:val="00B82512"/>
    <w:rsid w:val="00B83AA6"/>
    <w:rsid w:val="00B849F8"/>
    <w:rsid w:val="00B84C34"/>
    <w:rsid w:val="00B85633"/>
    <w:rsid w:val="00B86548"/>
    <w:rsid w:val="00B8783A"/>
    <w:rsid w:val="00B910BF"/>
    <w:rsid w:val="00B91AFA"/>
    <w:rsid w:val="00B92553"/>
    <w:rsid w:val="00B925E6"/>
    <w:rsid w:val="00B92AA4"/>
    <w:rsid w:val="00B92DFB"/>
    <w:rsid w:val="00B9575E"/>
    <w:rsid w:val="00B961B2"/>
    <w:rsid w:val="00B96AB6"/>
    <w:rsid w:val="00B96CEA"/>
    <w:rsid w:val="00B97FD9"/>
    <w:rsid w:val="00BA1C0F"/>
    <w:rsid w:val="00BA29F0"/>
    <w:rsid w:val="00BA60E0"/>
    <w:rsid w:val="00BA63E1"/>
    <w:rsid w:val="00BA768E"/>
    <w:rsid w:val="00BB0BEC"/>
    <w:rsid w:val="00BB0E59"/>
    <w:rsid w:val="00BB1D70"/>
    <w:rsid w:val="00BB4FB5"/>
    <w:rsid w:val="00BB5033"/>
    <w:rsid w:val="00BB710E"/>
    <w:rsid w:val="00BB793E"/>
    <w:rsid w:val="00BB7BA9"/>
    <w:rsid w:val="00BC0482"/>
    <w:rsid w:val="00BC127C"/>
    <w:rsid w:val="00BC1831"/>
    <w:rsid w:val="00BC1DE0"/>
    <w:rsid w:val="00BC21AA"/>
    <w:rsid w:val="00BC24AD"/>
    <w:rsid w:val="00BC58EA"/>
    <w:rsid w:val="00BC648B"/>
    <w:rsid w:val="00BC6E30"/>
    <w:rsid w:val="00BC6F67"/>
    <w:rsid w:val="00BD09A0"/>
    <w:rsid w:val="00BD10F2"/>
    <w:rsid w:val="00BD1223"/>
    <w:rsid w:val="00BD18A1"/>
    <w:rsid w:val="00BD2D5F"/>
    <w:rsid w:val="00BD2E52"/>
    <w:rsid w:val="00BD3357"/>
    <w:rsid w:val="00BD4EF2"/>
    <w:rsid w:val="00BD6A73"/>
    <w:rsid w:val="00BE1AA0"/>
    <w:rsid w:val="00BE23F7"/>
    <w:rsid w:val="00BE381A"/>
    <w:rsid w:val="00BE50C0"/>
    <w:rsid w:val="00BE5529"/>
    <w:rsid w:val="00BE676A"/>
    <w:rsid w:val="00BE7767"/>
    <w:rsid w:val="00BF0F0D"/>
    <w:rsid w:val="00BF1E22"/>
    <w:rsid w:val="00BF2449"/>
    <w:rsid w:val="00BF2A90"/>
    <w:rsid w:val="00C004AA"/>
    <w:rsid w:val="00C007A2"/>
    <w:rsid w:val="00C00B95"/>
    <w:rsid w:val="00C01C7E"/>
    <w:rsid w:val="00C03361"/>
    <w:rsid w:val="00C03AB9"/>
    <w:rsid w:val="00C03E02"/>
    <w:rsid w:val="00C05332"/>
    <w:rsid w:val="00C05845"/>
    <w:rsid w:val="00C066D9"/>
    <w:rsid w:val="00C073E9"/>
    <w:rsid w:val="00C07844"/>
    <w:rsid w:val="00C10374"/>
    <w:rsid w:val="00C10B90"/>
    <w:rsid w:val="00C12CC8"/>
    <w:rsid w:val="00C13447"/>
    <w:rsid w:val="00C14472"/>
    <w:rsid w:val="00C144CD"/>
    <w:rsid w:val="00C1576C"/>
    <w:rsid w:val="00C1599D"/>
    <w:rsid w:val="00C168A8"/>
    <w:rsid w:val="00C17FBF"/>
    <w:rsid w:val="00C20642"/>
    <w:rsid w:val="00C20FA8"/>
    <w:rsid w:val="00C2294D"/>
    <w:rsid w:val="00C237A1"/>
    <w:rsid w:val="00C2490F"/>
    <w:rsid w:val="00C24E3A"/>
    <w:rsid w:val="00C25E1D"/>
    <w:rsid w:val="00C26130"/>
    <w:rsid w:val="00C26177"/>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2F4"/>
    <w:rsid w:val="00C56396"/>
    <w:rsid w:val="00C565A9"/>
    <w:rsid w:val="00C615FB"/>
    <w:rsid w:val="00C62244"/>
    <w:rsid w:val="00C6233F"/>
    <w:rsid w:val="00C6325C"/>
    <w:rsid w:val="00C634C6"/>
    <w:rsid w:val="00C64E0D"/>
    <w:rsid w:val="00C668D8"/>
    <w:rsid w:val="00C70520"/>
    <w:rsid w:val="00C709A5"/>
    <w:rsid w:val="00C72DD3"/>
    <w:rsid w:val="00C73359"/>
    <w:rsid w:val="00C73364"/>
    <w:rsid w:val="00C7348C"/>
    <w:rsid w:val="00C768CE"/>
    <w:rsid w:val="00C7792D"/>
    <w:rsid w:val="00C77A6E"/>
    <w:rsid w:val="00C8015B"/>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01E"/>
    <w:rsid w:val="00C93B52"/>
    <w:rsid w:val="00C94271"/>
    <w:rsid w:val="00C94560"/>
    <w:rsid w:val="00C94C38"/>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C4D53"/>
    <w:rsid w:val="00CC787F"/>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4659"/>
    <w:rsid w:val="00CE645D"/>
    <w:rsid w:val="00CE6546"/>
    <w:rsid w:val="00CE7147"/>
    <w:rsid w:val="00CE733F"/>
    <w:rsid w:val="00CE7414"/>
    <w:rsid w:val="00CF029F"/>
    <w:rsid w:val="00CF1928"/>
    <w:rsid w:val="00CF2776"/>
    <w:rsid w:val="00CF29B4"/>
    <w:rsid w:val="00CF440F"/>
    <w:rsid w:val="00CF4EC9"/>
    <w:rsid w:val="00CF6D21"/>
    <w:rsid w:val="00CF72DA"/>
    <w:rsid w:val="00CF781F"/>
    <w:rsid w:val="00CF7F5B"/>
    <w:rsid w:val="00D00A8B"/>
    <w:rsid w:val="00D042B6"/>
    <w:rsid w:val="00D045E1"/>
    <w:rsid w:val="00D06FF8"/>
    <w:rsid w:val="00D079B6"/>
    <w:rsid w:val="00D100B8"/>
    <w:rsid w:val="00D13073"/>
    <w:rsid w:val="00D13248"/>
    <w:rsid w:val="00D135FE"/>
    <w:rsid w:val="00D13E95"/>
    <w:rsid w:val="00D13F33"/>
    <w:rsid w:val="00D15A27"/>
    <w:rsid w:val="00D15C91"/>
    <w:rsid w:val="00D16C3E"/>
    <w:rsid w:val="00D176A3"/>
    <w:rsid w:val="00D17FB6"/>
    <w:rsid w:val="00D17FC9"/>
    <w:rsid w:val="00D201AE"/>
    <w:rsid w:val="00D20DB9"/>
    <w:rsid w:val="00D20E8A"/>
    <w:rsid w:val="00D22BF4"/>
    <w:rsid w:val="00D234DF"/>
    <w:rsid w:val="00D23C2A"/>
    <w:rsid w:val="00D23DDF"/>
    <w:rsid w:val="00D2452F"/>
    <w:rsid w:val="00D25A9D"/>
    <w:rsid w:val="00D25F07"/>
    <w:rsid w:val="00D27087"/>
    <w:rsid w:val="00D30135"/>
    <w:rsid w:val="00D32120"/>
    <w:rsid w:val="00D321AC"/>
    <w:rsid w:val="00D3222D"/>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1FA0"/>
    <w:rsid w:val="00D53028"/>
    <w:rsid w:val="00D539D1"/>
    <w:rsid w:val="00D559BF"/>
    <w:rsid w:val="00D55FCA"/>
    <w:rsid w:val="00D5626F"/>
    <w:rsid w:val="00D57441"/>
    <w:rsid w:val="00D60924"/>
    <w:rsid w:val="00D60984"/>
    <w:rsid w:val="00D61140"/>
    <w:rsid w:val="00D614AF"/>
    <w:rsid w:val="00D618AE"/>
    <w:rsid w:val="00D624D9"/>
    <w:rsid w:val="00D62701"/>
    <w:rsid w:val="00D629A4"/>
    <w:rsid w:val="00D65CD4"/>
    <w:rsid w:val="00D65FD8"/>
    <w:rsid w:val="00D66BA9"/>
    <w:rsid w:val="00D70E25"/>
    <w:rsid w:val="00D7142C"/>
    <w:rsid w:val="00D72895"/>
    <w:rsid w:val="00D72AE2"/>
    <w:rsid w:val="00D73812"/>
    <w:rsid w:val="00D73BD0"/>
    <w:rsid w:val="00D75398"/>
    <w:rsid w:val="00D75C18"/>
    <w:rsid w:val="00D76E8B"/>
    <w:rsid w:val="00D812B2"/>
    <w:rsid w:val="00D82BC1"/>
    <w:rsid w:val="00D8303A"/>
    <w:rsid w:val="00D8398A"/>
    <w:rsid w:val="00D83BA6"/>
    <w:rsid w:val="00D853A5"/>
    <w:rsid w:val="00D86C74"/>
    <w:rsid w:val="00D86FE2"/>
    <w:rsid w:val="00D87BD5"/>
    <w:rsid w:val="00D9004B"/>
    <w:rsid w:val="00D905D2"/>
    <w:rsid w:val="00D90951"/>
    <w:rsid w:val="00D91121"/>
    <w:rsid w:val="00D9130F"/>
    <w:rsid w:val="00D9180F"/>
    <w:rsid w:val="00D91E64"/>
    <w:rsid w:val="00D92535"/>
    <w:rsid w:val="00D93FA9"/>
    <w:rsid w:val="00D94744"/>
    <w:rsid w:val="00D94908"/>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7556"/>
    <w:rsid w:val="00DB7C6D"/>
    <w:rsid w:val="00DC03A5"/>
    <w:rsid w:val="00DC0787"/>
    <w:rsid w:val="00DC14B9"/>
    <w:rsid w:val="00DC1982"/>
    <w:rsid w:val="00DC1CB1"/>
    <w:rsid w:val="00DC3604"/>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FB4"/>
    <w:rsid w:val="00DE329C"/>
    <w:rsid w:val="00DE3BDA"/>
    <w:rsid w:val="00DE3CB6"/>
    <w:rsid w:val="00DE4895"/>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115C"/>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2FEB"/>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49C"/>
    <w:rsid w:val="00E50929"/>
    <w:rsid w:val="00E50A14"/>
    <w:rsid w:val="00E50CB1"/>
    <w:rsid w:val="00E51867"/>
    <w:rsid w:val="00E5205F"/>
    <w:rsid w:val="00E52084"/>
    <w:rsid w:val="00E53904"/>
    <w:rsid w:val="00E53979"/>
    <w:rsid w:val="00E53D29"/>
    <w:rsid w:val="00E54CFD"/>
    <w:rsid w:val="00E5555B"/>
    <w:rsid w:val="00E5765D"/>
    <w:rsid w:val="00E6076F"/>
    <w:rsid w:val="00E6233D"/>
    <w:rsid w:val="00E63593"/>
    <w:rsid w:val="00E63FFB"/>
    <w:rsid w:val="00E64574"/>
    <w:rsid w:val="00E658BB"/>
    <w:rsid w:val="00E65DCD"/>
    <w:rsid w:val="00E66C40"/>
    <w:rsid w:val="00E66F4B"/>
    <w:rsid w:val="00E701AE"/>
    <w:rsid w:val="00E7186A"/>
    <w:rsid w:val="00E71C34"/>
    <w:rsid w:val="00E721AC"/>
    <w:rsid w:val="00E72762"/>
    <w:rsid w:val="00E72A5D"/>
    <w:rsid w:val="00E73EBC"/>
    <w:rsid w:val="00E754FA"/>
    <w:rsid w:val="00E75660"/>
    <w:rsid w:val="00E7597D"/>
    <w:rsid w:val="00E766E7"/>
    <w:rsid w:val="00E7785C"/>
    <w:rsid w:val="00E80F7F"/>
    <w:rsid w:val="00E83C55"/>
    <w:rsid w:val="00E83E6C"/>
    <w:rsid w:val="00E84162"/>
    <w:rsid w:val="00E8449A"/>
    <w:rsid w:val="00E85662"/>
    <w:rsid w:val="00E90303"/>
    <w:rsid w:val="00E91F24"/>
    <w:rsid w:val="00E92503"/>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2930"/>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1FA8"/>
    <w:rsid w:val="00EF2CE9"/>
    <w:rsid w:val="00EF3173"/>
    <w:rsid w:val="00EF336B"/>
    <w:rsid w:val="00EF4355"/>
    <w:rsid w:val="00EF47C9"/>
    <w:rsid w:val="00EF4EAD"/>
    <w:rsid w:val="00EF5BE4"/>
    <w:rsid w:val="00EF5E4D"/>
    <w:rsid w:val="00EF6BD5"/>
    <w:rsid w:val="00F001E8"/>
    <w:rsid w:val="00F00E11"/>
    <w:rsid w:val="00F01EBE"/>
    <w:rsid w:val="00F0296F"/>
    <w:rsid w:val="00F03784"/>
    <w:rsid w:val="00F0561F"/>
    <w:rsid w:val="00F0589B"/>
    <w:rsid w:val="00F05FE7"/>
    <w:rsid w:val="00F07CF7"/>
    <w:rsid w:val="00F10696"/>
    <w:rsid w:val="00F10C13"/>
    <w:rsid w:val="00F11073"/>
    <w:rsid w:val="00F13649"/>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86D"/>
    <w:rsid w:val="00F46FA1"/>
    <w:rsid w:val="00F4741D"/>
    <w:rsid w:val="00F476B4"/>
    <w:rsid w:val="00F51E6B"/>
    <w:rsid w:val="00F520B2"/>
    <w:rsid w:val="00F53531"/>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064"/>
    <w:rsid w:val="00FA417B"/>
    <w:rsid w:val="00FA438C"/>
    <w:rsid w:val="00FB22EC"/>
    <w:rsid w:val="00FB264A"/>
    <w:rsid w:val="00FB27EF"/>
    <w:rsid w:val="00FB2B3B"/>
    <w:rsid w:val="00FB2E7C"/>
    <w:rsid w:val="00FB3482"/>
    <w:rsid w:val="00FB4289"/>
    <w:rsid w:val="00FB55B0"/>
    <w:rsid w:val="00FB6F60"/>
    <w:rsid w:val="00FC0542"/>
    <w:rsid w:val="00FC0755"/>
    <w:rsid w:val="00FC095D"/>
    <w:rsid w:val="00FC1436"/>
    <w:rsid w:val="00FC28E3"/>
    <w:rsid w:val="00FC2C8D"/>
    <w:rsid w:val="00FC2FBD"/>
    <w:rsid w:val="00FC3E73"/>
    <w:rsid w:val="00FC4B5D"/>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409F"/>
    <w:rsid w:val="00FE65B0"/>
    <w:rsid w:val="00FE7130"/>
    <w:rsid w:val="00FE7F1A"/>
    <w:rsid w:val="00FF0434"/>
    <w:rsid w:val="00FF2048"/>
    <w:rsid w:val="00FF29EC"/>
    <w:rsid w:val="00FF3F4F"/>
    <w:rsid w:val="00FF462D"/>
    <w:rsid w:val="00FF4892"/>
    <w:rsid w:val="00FF544D"/>
    <w:rsid w:val="00FF6DA6"/>
    <w:rsid w:val="00FF7D66"/>
    <w:rsid w:val="021E34EC"/>
    <w:rsid w:val="025D4B69"/>
    <w:rsid w:val="02847727"/>
    <w:rsid w:val="029B274B"/>
    <w:rsid w:val="06DA3F86"/>
    <w:rsid w:val="07D573BD"/>
    <w:rsid w:val="09012917"/>
    <w:rsid w:val="0A7078E2"/>
    <w:rsid w:val="0B566843"/>
    <w:rsid w:val="0C436DA2"/>
    <w:rsid w:val="0C6F1EE0"/>
    <w:rsid w:val="0C7927C4"/>
    <w:rsid w:val="0D4E36CE"/>
    <w:rsid w:val="0FDE3634"/>
    <w:rsid w:val="11032FA4"/>
    <w:rsid w:val="12BF15E3"/>
    <w:rsid w:val="12E44384"/>
    <w:rsid w:val="13DA609A"/>
    <w:rsid w:val="13DF58D0"/>
    <w:rsid w:val="14B06F9F"/>
    <w:rsid w:val="162F6E30"/>
    <w:rsid w:val="16A657F3"/>
    <w:rsid w:val="1700168F"/>
    <w:rsid w:val="170F43E6"/>
    <w:rsid w:val="18335F1D"/>
    <w:rsid w:val="1A284F61"/>
    <w:rsid w:val="1A516B2E"/>
    <w:rsid w:val="1B2C79B8"/>
    <w:rsid w:val="1BA07BC0"/>
    <w:rsid w:val="1C2B18DC"/>
    <w:rsid w:val="1C430AF7"/>
    <w:rsid w:val="1C4C73E5"/>
    <w:rsid w:val="1CA70993"/>
    <w:rsid w:val="1CD93BD1"/>
    <w:rsid w:val="1DA75D4E"/>
    <w:rsid w:val="1DB47B00"/>
    <w:rsid w:val="1EA47B74"/>
    <w:rsid w:val="1EF734A5"/>
    <w:rsid w:val="1EFC54D6"/>
    <w:rsid w:val="1F155DA3"/>
    <w:rsid w:val="202D3376"/>
    <w:rsid w:val="20333587"/>
    <w:rsid w:val="2054031C"/>
    <w:rsid w:val="208F1832"/>
    <w:rsid w:val="21DC0B80"/>
    <w:rsid w:val="222B46FB"/>
    <w:rsid w:val="229C0AE2"/>
    <w:rsid w:val="235A7563"/>
    <w:rsid w:val="23A2332F"/>
    <w:rsid w:val="24991FB7"/>
    <w:rsid w:val="25BC6855"/>
    <w:rsid w:val="27675BE3"/>
    <w:rsid w:val="28F21161"/>
    <w:rsid w:val="2AC53D24"/>
    <w:rsid w:val="2B415BC0"/>
    <w:rsid w:val="2BDF564F"/>
    <w:rsid w:val="2CD45EF5"/>
    <w:rsid w:val="2D4A7B39"/>
    <w:rsid w:val="2D626265"/>
    <w:rsid w:val="2D8A311A"/>
    <w:rsid w:val="30161F54"/>
    <w:rsid w:val="3227669B"/>
    <w:rsid w:val="322D4FAC"/>
    <w:rsid w:val="33FD6AFF"/>
    <w:rsid w:val="347E631A"/>
    <w:rsid w:val="34AC5340"/>
    <w:rsid w:val="359412D3"/>
    <w:rsid w:val="35FD353B"/>
    <w:rsid w:val="3677309A"/>
    <w:rsid w:val="3680366A"/>
    <w:rsid w:val="36F26457"/>
    <w:rsid w:val="37236075"/>
    <w:rsid w:val="372B3DC2"/>
    <w:rsid w:val="38D46149"/>
    <w:rsid w:val="38D806EF"/>
    <w:rsid w:val="391D260E"/>
    <w:rsid w:val="39212075"/>
    <w:rsid w:val="3B640CCA"/>
    <w:rsid w:val="3E5F540E"/>
    <w:rsid w:val="3E8377E8"/>
    <w:rsid w:val="3EC31613"/>
    <w:rsid w:val="3F174AE9"/>
    <w:rsid w:val="413374C7"/>
    <w:rsid w:val="420854B7"/>
    <w:rsid w:val="425A0EC7"/>
    <w:rsid w:val="44D246DD"/>
    <w:rsid w:val="466704B9"/>
    <w:rsid w:val="4855025B"/>
    <w:rsid w:val="4A624B0A"/>
    <w:rsid w:val="4B27365D"/>
    <w:rsid w:val="4B3E6CCC"/>
    <w:rsid w:val="4BFF2D39"/>
    <w:rsid w:val="4C6A7B24"/>
    <w:rsid w:val="4CC72AFC"/>
    <w:rsid w:val="4E630603"/>
    <w:rsid w:val="4F3F336C"/>
    <w:rsid w:val="50202421"/>
    <w:rsid w:val="504C214F"/>
    <w:rsid w:val="508A5295"/>
    <w:rsid w:val="51F371C7"/>
    <w:rsid w:val="52E02222"/>
    <w:rsid w:val="52E33CDE"/>
    <w:rsid w:val="53463335"/>
    <w:rsid w:val="535D6464"/>
    <w:rsid w:val="54F60637"/>
    <w:rsid w:val="54FB4092"/>
    <w:rsid w:val="550D3076"/>
    <w:rsid w:val="567D5CB8"/>
    <w:rsid w:val="570606C5"/>
    <w:rsid w:val="57195BAA"/>
    <w:rsid w:val="57340620"/>
    <w:rsid w:val="57B63E99"/>
    <w:rsid w:val="591A2206"/>
    <w:rsid w:val="5979B67F"/>
    <w:rsid w:val="59A67846"/>
    <w:rsid w:val="59AF3E28"/>
    <w:rsid w:val="5A8262B5"/>
    <w:rsid w:val="5BA544A8"/>
    <w:rsid w:val="5BF32DE4"/>
    <w:rsid w:val="5D0A03B4"/>
    <w:rsid w:val="5E7FE09E"/>
    <w:rsid w:val="5FF4730D"/>
    <w:rsid w:val="60313C0F"/>
    <w:rsid w:val="60A67D68"/>
    <w:rsid w:val="60BF5B6D"/>
    <w:rsid w:val="61181E1C"/>
    <w:rsid w:val="618D686F"/>
    <w:rsid w:val="6207136E"/>
    <w:rsid w:val="623F3015"/>
    <w:rsid w:val="630F445E"/>
    <w:rsid w:val="63907D73"/>
    <w:rsid w:val="63FA510E"/>
    <w:rsid w:val="64742B86"/>
    <w:rsid w:val="6553004F"/>
    <w:rsid w:val="66B56861"/>
    <w:rsid w:val="676531E4"/>
    <w:rsid w:val="677B2E32"/>
    <w:rsid w:val="680B60E8"/>
    <w:rsid w:val="682269E1"/>
    <w:rsid w:val="68D37C3F"/>
    <w:rsid w:val="69935DE8"/>
    <w:rsid w:val="69B356FD"/>
    <w:rsid w:val="6AC81AC2"/>
    <w:rsid w:val="6AD466B8"/>
    <w:rsid w:val="6B007885"/>
    <w:rsid w:val="6C1C0317"/>
    <w:rsid w:val="6C6E5E1A"/>
    <w:rsid w:val="6CAE4CE7"/>
    <w:rsid w:val="6F1C7C2D"/>
    <w:rsid w:val="6F325106"/>
    <w:rsid w:val="6F4C3EA0"/>
    <w:rsid w:val="6FEDDB88"/>
    <w:rsid w:val="70D000EC"/>
    <w:rsid w:val="71192EA7"/>
    <w:rsid w:val="7161057A"/>
    <w:rsid w:val="722078DA"/>
    <w:rsid w:val="726A7B04"/>
    <w:rsid w:val="73A22B18"/>
    <w:rsid w:val="74220815"/>
    <w:rsid w:val="754601B3"/>
    <w:rsid w:val="758B1098"/>
    <w:rsid w:val="75CFB948"/>
    <w:rsid w:val="75D517A8"/>
    <w:rsid w:val="76F36751"/>
    <w:rsid w:val="78964A73"/>
    <w:rsid w:val="797A7744"/>
    <w:rsid w:val="7A2111EE"/>
    <w:rsid w:val="7A395308"/>
    <w:rsid w:val="7B0542C5"/>
    <w:rsid w:val="7B3D7385"/>
    <w:rsid w:val="7B5D5E80"/>
    <w:rsid w:val="7BB53EE9"/>
    <w:rsid w:val="7C7863C1"/>
    <w:rsid w:val="7D1F4FB0"/>
    <w:rsid w:val="7E6A3164"/>
    <w:rsid w:val="7E7F91D1"/>
    <w:rsid w:val="7EE6E298"/>
    <w:rsid w:val="7F4C6E9A"/>
    <w:rsid w:val="7F530029"/>
    <w:rsid w:val="7FAD6EBA"/>
    <w:rsid w:val="7FDDFB99"/>
    <w:rsid w:val="7FEF6464"/>
    <w:rsid w:val="7FFEB89D"/>
    <w:rsid w:val="7FFF062E"/>
    <w:rsid w:val="A6FF8D2F"/>
    <w:rsid w:val="B2DF57CA"/>
    <w:rsid w:val="BBDE2836"/>
    <w:rsid w:val="D5FAE81B"/>
    <w:rsid w:val="D9F8571E"/>
    <w:rsid w:val="E59B518F"/>
    <w:rsid w:val="EFE8B88F"/>
    <w:rsid w:val="F3FD08E0"/>
    <w:rsid w:val="FCFDE766"/>
    <w:rsid w:val="FFFFB6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3">
    <w:name w:val="heading 1"/>
    <w:basedOn w:val="1"/>
    <w:next w:val="1"/>
    <w:link w:val="40"/>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4">
    <w:name w:val="heading 2"/>
    <w:basedOn w:val="1"/>
    <w:next w:val="1"/>
    <w:link w:val="41"/>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5">
    <w:name w:val="heading 3"/>
    <w:basedOn w:val="1"/>
    <w:next w:val="1"/>
    <w:link w:val="43"/>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6">
    <w:name w:val="heading 4"/>
    <w:basedOn w:val="1"/>
    <w:next w:val="1"/>
    <w:link w:val="44"/>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7">
    <w:name w:val="heading 5"/>
    <w:basedOn w:val="1"/>
    <w:next w:val="1"/>
    <w:link w:val="45"/>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8">
    <w:name w:val="heading 6"/>
    <w:basedOn w:val="1"/>
    <w:next w:val="1"/>
    <w:link w:val="46"/>
    <w:semiHidden/>
    <w:unhideWhenUsed/>
    <w:qFormat/>
    <w:uiPriority w:val="9"/>
    <w:pPr>
      <w:pBdr>
        <w:bottom w:val="single" w:color="E5B8B7" w:sz="4" w:space="2"/>
      </w:pBdr>
      <w:spacing w:before="200" w:after="100"/>
      <w:contextualSpacing/>
      <w:outlineLvl w:val="5"/>
    </w:pPr>
    <w:rPr>
      <w:color w:val="943634"/>
      <w:sz w:val="22"/>
      <w:szCs w:val="22"/>
    </w:rPr>
  </w:style>
  <w:style w:type="paragraph" w:styleId="9">
    <w:name w:val="heading 7"/>
    <w:basedOn w:val="1"/>
    <w:next w:val="1"/>
    <w:link w:val="47"/>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10">
    <w:name w:val="heading 8"/>
    <w:basedOn w:val="1"/>
    <w:next w:val="1"/>
    <w:link w:val="48"/>
    <w:semiHidden/>
    <w:unhideWhenUsed/>
    <w:qFormat/>
    <w:uiPriority w:val="9"/>
    <w:pPr>
      <w:spacing w:before="200" w:after="100"/>
      <w:contextualSpacing/>
      <w:outlineLvl w:val="7"/>
    </w:pPr>
    <w:rPr>
      <w:rFonts w:ascii="Cambria" w:hAnsi="Cambria"/>
      <w:color w:val="C0504D"/>
      <w:sz w:val="22"/>
      <w:szCs w:val="22"/>
    </w:rPr>
  </w:style>
  <w:style w:type="paragraph" w:styleId="11">
    <w:name w:val="heading 9"/>
    <w:basedOn w:val="1"/>
    <w:next w:val="1"/>
    <w:link w:val="49"/>
    <w:semiHidden/>
    <w:unhideWhenUsed/>
    <w:qFormat/>
    <w:uiPriority w:val="9"/>
    <w:pPr>
      <w:spacing w:before="200" w:after="100"/>
      <w:contextualSpacing/>
      <w:outlineLvl w:val="8"/>
    </w:pPr>
    <w:rPr>
      <w:rFonts w:ascii="Cambria" w:hAnsi="Cambria"/>
      <w:color w:val="C0504D"/>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12">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3">
    <w:name w:val="Normal Indent"/>
    <w:basedOn w:val="1"/>
    <w:unhideWhenUsed/>
    <w:qFormat/>
    <w:uiPriority w:val="99"/>
    <w:pPr>
      <w:ind w:firstLine="420"/>
    </w:pPr>
  </w:style>
  <w:style w:type="paragraph" w:styleId="14">
    <w:name w:val="caption"/>
    <w:basedOn w:val="1"/>
    <w:next w:val="1"/>
    <w:unhideWhenUsed/>
    <w:qFormat/>
    <w:uiPriority w:val="35"/>
    <w:pPr>
      <w:jc w:val="center"/>
    </w:pPr>
    <w:rPr>
      <w:b/>
      <w:bCs/>
      <w:color w:val="0033CC"/>
      <w:sz w:val="18"/>
      <w:szCs w:val="18"/>
    </w:rPr>
  </w:style>
  <w:style w:type="paragraph" w:styleId="15">
    <w:name w:val="Document Map"/>
    <w:basedOn w:val="1"/>
    <w:link w:val="77"/>
    <w:semiHidden/>
    <w:unhideWhenUsed/>
    <w:qFormat/>
    <w:uiPriority w:val="99"/>
    <w:rPr>
      <w:rFonts w:ascii="宋体"/>
      <w:sz w:val="18"/>
      <w:szCs w:val="18"/>
    </w:rPr>
  </w:style>
  <w:style w:type="paragraph" w:styleId="16">
    <w:name w:val="annotation text"/>
    <w:basedOn w:val="1"/>
    <w:link w:val="78"/>
    <w:unhideWhenUsed/>
    <w:qFormat/>
    <w:uiPriority w:val="0"/>
  </w:style>
  <w:style w:type="paragraph" w:styleId="17">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8">
    <w:name w:val="toc 3"/>
    <w:basedOn w:val="1"/>
    <w:next w:val="1"/>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9">
    <w:name w:val="Plain Text"/>
    <w:basedOn w:val="1"/>
    <w:link w:val="80"/>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20">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21">
    <w:name w:val="Balloon Text"/>
    <w:basedOn w:val="1"/>
    <w:link w:val="67"/>
    <w:semiHidden/>
    <w:unhideWhenUsed/>
    <w:qFormat/>
    <w:uiPriority w:val="99"/>
    <w:pPr>
      <w:spacing w:before="0"/>
    </w:pPr>
    <w:rPr>
      <w:sz w:val="18"/>
      <w:szCs w:val="18"/>
    </w:rPr>
  </w:style>
  <w:style w:type="paragraph" w:styleId="22">
    <w:name w:val="footer"/>
    <w:basedOn w:val="1"/>
    <w:link w:val="65"/>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6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5">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6">
    <w:name w:val="Subtitle"/>
    <w:basedOn w:val="1"/>
    <w:next w:val="1"/>
    <w:link w:val="51"/>
    <w:qFormat/>
    <w:uiPriority w:val="11"/>
    <w:pPr>
      <w:pBdr>
        <w:bottom w:val="dotted" w:color="C0504D" w:sz="8" w:space="10"/>
      </w:pBdr>
      <w:spacing w:before="200" w:after="900"/>
      <w:jc w:val="center"/>
    </w:pPr>
    <w:rPr>
      <w:color w:val="622423"/>
      <w:sz w:val="24"/>
      <w:szCs w:val="24"/>
    </w:rPr>
  </w:style>
  <w:style w:type="paragraph" w:styleId="27">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8">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9">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30">
    <w:name w:val="Title"/>
    <w:basedOn w:val="1"/>
    <w:next w:val="1"/>
    <w:link w:val="50"/>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1">
    <w:name w:val="annotation subject"/>
    <w:basedOn w:val="16"/>
    <w:next w:val="16"/>
    <w:link w:val="79"/>
    <w:semiHidden/>
    <w:unhideWhenUsed/>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rFonts w:ascii="Constantia" w:hAnsi="Constantia" w:eastAsia="微软雅黑"/>
      <w:bCs/>
      <w:spacing w:val="0"/>
      <w:sz w:val="24"/>
    </w:rPr>
  </w:style>
  <w:style w:type="character" w:styleId="36">
    <w:name w:val="FollowedHyperlink"/>
    <w:semiHidden/>
    <w:unhideWhenUsed/>
    <w:qFormat/>
    <w:uiPriority w:val="99"/>
    <w:rPr>
      <w:color w:val="800080"/>
      <w:u w:val="single"/>
    </w:rPr>
  </w:style>
  <w:style w:type="character" w:styleId="37">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8">
    <w:name w:val="Hyperlink"/>
    <w:unhideWhenUsed/>
    <w:qFormat/>
    <w:uiPriority w:val="99"/>
    <w:rPr>
      <w:color w:val="0000FF"/>
      <w:u w:val="single"/>
    </w:rPr>
  </w:style>
  <w:style w:type="character" w:styleId="39">
    <w:name w:val="annotation reference"/>
    <w:unhideWhenUsed/>
    <w:qFormat/>
    <w:uiPriority w:val="0"/>
    <w:rPr>
      <w:sz w:val="21"/>
      <w:szCs w:val="21"/>
    </w:rPr>
  </w:style>
  <w:style w:type="character" w:customStyle="1" w:styleId="40">
    <w:name w:val="标题 1 字符"/>
    <w:link w:val="3"/>
    <w:qFormat/>
    <w:uiPriority w:val="9"/>
    <w:rPr>
      <w:rFonts w:ascii="Times New Roman" w:hAnsi="Times New Roman" w:eastAsia="微软雅黑"/>
      <w:b/>
      <w:bCs/>
      <w:iCs/>
      <w:color w:val="0F243E"/>
      <w:sz w:val="32"/>
      <w:szCs w:val="22"/>
    </w:rPr>
  </w:style>
  <w:style w:type="character" w:customStyle="1" w:styleId="41">
    <w:name w:val="标题 2 字符"/>
    <w:link w:val="4"/>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2">
    <w:name w:val="List Paragraph"/>
    <w:basedOn w:val="1"/>
    <w:link w:val="87"/>
    <w:qFormat/>
    <w:uiPriority w:val="34"/>
    <w:pPr>
      <w:ind w:left="720"/>
      <w:contextualSpacing/>
    </w:pPr>
  </w:style>
  <w:style w:type="character" w:customStyle="1" w:styleId="43">
    <w:name w:val="标题 3 字符"/>
    <w:link w:val="5"/>
    <w:qFormat/>
    <w:uiPriority w:val="0"/>
    <w:rPr>
      <w:rFonts w:ascii="Times New Roman" w:hAnsi="Times New Roman" w:eastAsia="微软雅黑" w:cs="Times New Roman"/>
      <w:b/>
      <w:bCs/>
      <w:iCs/>
      <w:color w:val="2F5597" w:themeColor="accent5" w:themeShade="BF"/>
      <w:sz w:val="30"/>
      <w:szCs w:val="22"/>
    </w:rPr>
  </w:style>
  <w:style w:type="character" w:customStyle="1" w:styleId="44">
    <w:name w:val="标题 4 字符"/>
    <w:link w:val="6"/>
    <w:qFormat/>
    <w:uiPriority w:val="0"/>
    <w:rPr>
      <w:rFonts w:ascii="Times New Roman" w:hAnsi="Times New Roman" w:eastAsia="微软雅黑" w:cs="Times New Roman"/>
      <w:b/>
      <w:bCs/>
      <w:iCs/>
      <w:color w:val="2E75B6" w:themeColor="accent1" w:themeShade="BF"/>
      <w:sz w:val="24"/>
      <w:szCs w:val="22"/>
    </w:rPr>
  </w:style>
  <w:style w:type="character" w:customStyle="1" w:styleId="45">
    <w:name w:val="标题 5 字符"/>
    <w:link w:val="7"/>
    <w:qFormat/>
    <w:uiPriority w:val="9"/>
    <w:rPr>
      <w:rFonts w:ascii="Times New Roman" w:hAnsi="Times New Roman" w:eastAsia="微软雅黑" w:cs="Times New Roman"/>
      <w:bCs/>
      <w:iCs/>
      <w:color w:val="2E75B6" w:themeColor="accent1" w:themeShade="BF"/>
      <w:sz w:val="24"/>
      <w:szCs w:val="22"/>
    </w:rPr>
  </w:style>
  <w:style w:type="character" w:customStyle="1" w:styleId="46">
    <w:name w:val="标题 6 字符"/>
    <w:link w:val="8"/>
    <w:semiHidden/>
    <w:qFormat/>
    <w:uiPriority w:val="9"/>
    <w:rPr>
      <w:rFonts w:ascii="Times New Roman" w:hAnsi="Times New Roman"/>
      <w:iCs/>
      <w:color w:val="943634"/>
      <w:sz w:val="22"/>
      <w:szCs w:val="22"/>
    </w:rPr>
  </w:style>
  <w:style w:type="character" w:customStyle="1" w:styleId="47">
    <w:name w:val="标题 7 字符"/>
    <w:link w:val="9"/>
    <w:semiHidden/>
    <w:qFormat/>
    <w:uiPriority w:val="9"/>
    <w:rPr>
      <w:rFonts w:ascii="Cambria" w:hAnsi="Cambria" w:eastAsia="宋体" w:cs="Times New Roman"/>
      <w:i/>
      <w:iCs/>
      <w:color w:val="943634"/>
    </w:rPr>
  </w:style>
  <w:style w:type="character" w:customStyle="1" w:styleId="48">
    <w:name w:val="标题 8 字符"/>
    <w:link w:val="10"/>
    <w:semiHidden/>
    <w:qFormat/>
    <w:uiPriority w:val="9"/>
    <w:rPr>
      <w:rFonts w:ascii="Cambria" w:hAnsi="Cambria" w:eastAsia="宋体" w:cs="Times New Roman"/>
      <w:i/>
      <w:iCs/>
      <w:color w:val="C0504D"/>
    </w:rPr>
  </w:style>
  <w:style w:type="character" w:customStyle="1" w:styleId="49">
    <w:name w:val="标题 9 字符"/>
    <w:link w:val="11"/>
    <w:semiHidden/>
    <w:qFormat/>
    <w:uiPriority w:val="9"/>
    <w:rPr>
      <w:rFonts w:ascii="Cambria" w:hAnsi="Cambria" w:eastAsia="宋体" w:cs="Times New Roman"/>
      <w:i/>
      <w:iCs/>
      <w:color w:val="C0504D"/>
      <w:sz w:val="20"/>
      <w:szCs w:val="20"/>
    </w:rPr>
  </w:style>
  <w:style w:type="character" w:customStyle="1" w:styleId="50">
    <w:name w:val="标题 字符"/>
    <w:link w:val="30"/>
    <w:qFormat/>
    <w:uiPriority w:val="10"/>
    <w:rPr>
      <w:rFonts w:ascii="Times New Roman" w:hAnsi="Times New Roman"/>
      <w:iCs/>
      <w:color w:val="FFFFFF"/>
      <w:spacing w:val="10"/>
      <w:sz w:val="48"/>
      <w:szCs w:val="48"/>
      <w:shd w:val="clear" w:color="auto" w:fill="C0504D"/>
    </w:rPr>
  </w:style>
  <w:style w:type="character" w:customStyle="1" w:styleId="51">
    <w:name w:val="副标题 字符"/>
    <w:link w:val="26"/>
    <w:qFormat/>
    <w:uiPriority w:val="11"/>
    <w:rPr>
      <w:rFonts w:ascii="Times New Roman" w:hAnsi="Times New Roman"/>
      <w:iCs/>
      <w:color w:val="622423"/>
      <w:sz w:val="24"/>
      <w:szCs w:val="24"/>
    </w:rPr>
  </w:style>
  <w:style w:type="paragraph" w:styleId="52">
    <w:name w:val="No Spacing"/>
    <w:basedOn w:val="1"/>
    <w:link w:val="68"/>
    <w:qFormat/>
    <w:uiPriority w:val="1"/>
    <w:pPr>
      <w:spacing w:after="0"/>
      <w:ind w:firstLine="0" w:firstLineChars="0"/>
      <w:jc w:val="center"/>
    </w:pPr>
  </w:style>
  <w:style w:type="paragraph" w:styleId="53">
    <w:name w:val="Quote"/>
    <w:basedOn w:val="1"/>
    <w:next w:val="1"/>
    <w:link w:val="54"/>
    <w:qFormat/>
    <w:uiPriority w:val="29"/>
    <w:rPr>
      <w:i/>
      <w:iCs w:val="0"/>
      <w:color w:val="943634"/>
    </w:rPr>
  </w:style>
  <w:style w:type="character" w:customStyle="1" w:styleId="54">
    <w:name w:val="引用 字符"/>
    <w:link w:val="53"/>
    <w:qFormat/>
    <w:uiPriority w:val="29"/>
    <w:rPr>
      <w:color w:val="943634"/>
      <w:sz w:val="20"/>
      <w:szCs w:val="20"/>
    </w:rPr>
  </w:style>
  <w:style w:type="paragraph" w:styleId="55">
    <w:name w:val="Intense Quote"/>
    <w:basedOn w:val="1"/>
    <w:next w:val="1"/>
    <w:link w:val="56"/>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6">
    <w:name w:val="明显引用 字符"/>
    <w:link w:val="55"/>
    <w:qFormat/>
    <w:uiPriority w:val="30"/>
    <w:rPr>
      <w:rFonts w:ascii="Cambria" w:hAnsi="Cambria" w:eastAsia="宋体" w:cs="Times New Roman"/>
      <w:b/>
      <w:bCs/>
      <w:i/>
      <w:iCs/>
      <w:color w:val="C0504D"/>
      <w:sz w:val="20"/>
      <w:szCs w:val="20"/>
    </w:rPr>
  </w:style>
  <w:style w:type="character" w:customStyle="1" w:styleId="57">
    <w:name w:val="不明显强调1"/>
    <w:qFormat/>
    <w:uiPriority w:val="19"/>
    <w:rPr>
      <w:rFonts w:ascii="Cambria" w:hAnsi="Cambria" w:eastAsia="宋体" w:cs="Times New Roman"/>
      <w:i/>
      <w:iCs/>
      <w:color w:val="C0504D"/>
    </w:rPr>
  </w:style>
  <w:style w:type="character" w:customStyle="1" w:styleId="58">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9">
    <w:name w:val="不明显参考1"/>
    <w:qFormat/>
    <w:uiPriority w:val="31"/>
    <w:rPr>
      <w:i/>
      <w:iCs/>
      <w:smallCaps/>
      <w:color w:val="C0504D"/>
      <w:u w:color="C0504D"/>
    </w:rPr>
  </w:style>
  <w:style w:type="character" w:customStyle="1" w:styleId="60">
    <w:name w:val="明显参考1"/>
    <w:qFormat/>
    <w:uiPriority w:val="32"/>
    <w:rPr>
      <w:rFonts w:eastAsia="楷体"/>
      <w:b/>
      <w:bCs/>
      <w:iCs/>
      <w:smallCaps/>
      <w:color w:val="0070C0"/>
      <w:u w:color="C0504D"/>
    </w:rPr>
  </w:style>
  <w:style w:type="character" w:customStyle="1" w:styleId="61">
    <w:name w:val="书籍标题1"/>
    <w:qFormat/>
    <w:uiPriority w:val="33"/>
    <w:rPr>
      <w:rFonts w:ascii="Times New Roman" w:hAnsi="Times New Roman" w:eastAsia="宋体" w:cs="Times New Roman"/>
      <w:b/>
      <w:bCs/>
      <w:i/>
      <w:iCs/>
      <w:smallCaps/>
      <w:color w:val="943634"/>
      <w:u w:val="single"/>
    </w:rPr>
  </w:style>
  <w:style w:type="paragraph" w:customStyle="1" w:styleId="62">
    <w:name w:val="目录标题1"/>
    <w:basedOn w:val="3"/>
    <w:next w:val="1"/>
    <w:unhideWhenUsed/>
    <w:qFormat/>
    <w:uiPriority w:val="39"/>
    <w:pPr>
      <w:outlineLvl w:val="9"/>
    </w:pPr>
    <w:rPr>
      <w:lang w:bidi="en-US"/>
    </w:rPr>
  </w:style>
  <w:style w:type="table" w:customStyle="1" w:styleId="63">
    <w:name w:val="浅色网格 - 强调文字颜色 51"/>
    <w:basedOn w:val="32"/>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4">
    <w:name w:val="页眉 字符"/>
    <w:link w:val="23"/>
    <w:qFormat/>
    <w:uiPriority w:val="99"/>
    <w:rPr>
      <w:rFonts w:eastAsia="微软雅黑"/>
      <w:iCs/>
      <w:color w:val="365F91"/>
      <w:sz w:val="18"/>
      <w:szCs w:val="18"/>
    </w:rPr>
  </w:style>
  <w:style w:type="character" w:customStyle="1" w:styleId="65">
    <w:name w:val="页脚 字符"/>
    <w:link w:val="22"/>
    <w:qFormat/>
    <w:uiPriority w:val="99"/>
    <w:rPr>
      <w:rFonts w:eastAsia="微软雅黑"/>
      <w:iCs/>
      <w:color w:val="365F91"/>
      <w:sz w:val="18"/>
      <w:szCs w:val="18"/>
    </w:rPr>
  </w:style>
  <w:style w:type="table" w:customStyle="1" w:styleId="66">
    <w:name w:val="中等深浅网格 3 - 强调文字颜色 11"/>
    <w:basedOn w:val="3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7">
    <w:name w:val="批注框文本 字符"/>
    <w:link w:val="21"/>
    <w:semiHidden/>
    <w:qFormat/>
    <w:uiPriority w:val="99"/>
    <w:rPr>
      <w:rFonts w:eastAsia="微软雅黑"/>
      <w:iCs/>
      <w:color w:val="365F91"/>
      <w:sz w:val="18"/>
      <w:szCs w:val="18"/>
    </w:rPr>
  </w:style>
  <w:style w:type="character" w:customStyle="1" w:styleId="68">
    <w:name w:val="无间隔 字符"/>
    <w:link w:val="52"/>
    <w:qFormat/>
    <w:uiPriority w:val="1"/>
    <w:rPr>
      <w:iCs/>
      <w:color w:val="17365D"/>
      <w:sz w:val="21"/>
      <w:szCs w:val="20"/>
    </w:rPr>
  </w:style>
  <w:style w:type="paragraph" w:customStyle="1" w:styleId="69">
    <w:name w:val="正文缩进1"/>
    <w:basedOn w:val="1"/>
    <w:qFormat/>
    <w:uiPriority w:val="0"/>
    <w:pPr>
      <w:widowControl w:val="0"/>
      <w:spacing w:before="0" w:afterLines="50"/>
      <w:ind w:firstLine="480"/>
    </w:pPr>
    <w:rPr>
      <w:iCs w:val="0"/>
      <w:color w:val="auto"/>
      <w:kern w:val="2"/>
      <w:sz w:val="24"/>
    </w:rPr>
  </w:style>
  <w:style w:type="paragraph" w:customStyle="1" w:styleId="70">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1">
    <w:name w:val="p0"/>
    <w:basedOn w:val="1"/>
    <w:qFormat/>
    <w:uiPriority w:val="99"/>
    <w:pPr>
      <w:spacing w:before="0" w:after="0"/>
      <w:ind w:firstLine="0" w:firstLineChars="0"/>
    </w:pPr>
    <w:rPr>
      <w:rFonts w:cs="宋体"/>
      <w:iCs w:val="0"/>
      <w:color w:val="auto"/>
      <w:szCs w:val="21"/>
    </w:rPr>
  </w:style>
  <w:style w:type="paragraph" w:customStyle="1" w:styleId="72">
    <w:name w:val="文档正文"/>
    <w:basedOn w:val="1"/>
    <w:link w:val="73"/>
    <w:qFormat/>
    <w:uiPriority w:val="0"/>
    <w:pPr>
      <w:widowControl w:val="0"/>
      <w:spacing w:before="0" w:after="0" w:line="360" w:lineRule="auto"/>
      <w:ind w:firstLine="400"/>
    </w:pPr>
    <w:rPr>
      <w:iCs w:val="0"/>
      <w:color w:val="auto"/>
      <w:kern w:val="2"/>
      <w:sz w:val="20"/>
    </w:rPr>
  </w:style>
  <w:style w:type="character" w:customStyle="1" w:styleId="73">
    <w:name w:val="文档正文 Char"/>
    <w:link w:val="72"/>
    <w:qFormat/>
    <w:uiPriority w:val="0"/>
    <w:rPr>
      <w:rFonts w:ascii="Times New Roman" w:hAnsi="Times New Roman" w:eastAsia="宋体"/>
      <w:kern w:val="2"/>
    </w:rPr>
  </w:style>
  <w:style w:type="table" w:customStyle="1" w:styleId="74">
    <w:name w:val="中等深浅底纹 1 - 强调文字颜色 11"/>
    <w:basedOn w:val="32"/>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5">
    <w:name w:val="条目正文"/>
    <w:basedOn w:val="1"/>
    <w:link w:val="76"/>
    <w:qFormat/>
    <w:uiPriority w:val="0"/>
    <w:pPr>
      <w:widowControl w:val="0"/>
      <w:spacing w:before="0" w:after="0" w:line="360" w:lineRule="auto"/>
      <w:ind w:left="200" w:leftChars="200"/>
    </w:pPr>
    <w:rPr>
      <w:iCs w:val="0"/>
      <w:color w:val="auto"/>
      <w:kern w:val="2"/>
      <w:sz w:val="24"/>
      <w:szCs w:val="24"/>
    </w:rPr>
  </w:style>
  <w:style w:type="character" w:customStyle="1" w:styleId="76">
    <w:name w:val="条目正文 Char"/>
    <w:link w:val="75"/>
    <w:qFormat/>
    <w:uiPriority w:val="0"/>
    <w:rPr>
      <w:rFonts w:ascii="Times New Roman" w:hAnsi="Times New Roman"/>
      <w:kern w:val="2"/>
      <w:sz w:val="24"/>
      <w:szCs w:val="24"/>
    </w:rPr>
  </w:style>
  <w:style w:type="character" w:customStyle="1" w:styleId="77">
    <w:name w:val="文档结构图 字符"/>
    <w:link w:val="15"/>
    <w:semiHidden/>
    <w:qFormat/>
    <w:uiPriority w:val="99"/>
    <w:rPr>
      <w:rFonts w:ascii="宋体"/>
      <w:iCs/>
      <w:color w:val="17365D"/>
      <w:sz w:val="18"/>
      <w:szCs w:val="18"/>
    </w:rPr>
  </w:style>
  <w:style w:type="character" w:customStyle="1" w:styleId="78">
    <w:name w:val="批注文字 字符"/>
    <w:link w:val="16"/>
    <w:semiHidden/>
    <w:qFormat/>
    <w:uiPriority w:val="99"/>
    <w:rPr>
      <w:iCs/>
      <w:color w:val="17365D"/>
      <w:sz w:val="21"/>
    </w:rPr>
  </w:style>
  <w:style w:type="character" w:customStyle="1" w:styleId="79">
    <w:name w:val="批注主题 字符"/>
    <w:link w:val="31"/>
    <w:semiHidden/>
    <w:qFormat/>
    <w:uiPriority w:val="99"/>
    <w:rPr>
      <w:b/>
      <w:bCs/>
      <w:iCs/>
      <w:color w:val="17365D"/>
      <w:sz w:val="21"/>
    </w:rPr>
  </w:style>
  <w:style w:type="character" w:customStyle="1" w:styleId="80">
    <w:name w:val="纯文本 字符"/>
    <w:link w:val="19"/>
    <w:qFormat/>
    <w:uiPriority w:val="0"/>
    <w:rPr>
      <w:rFonts w:ascii="宋体" w:hAnsi="Courier New" w:eastAsia="新宋体" w:cs="Courier New"/>
      <w:kern w:val="2"/>
      <w:sz w:val="21"/>
      <w:szCs w:val="21"/>
    </w:rPr>
  </w:style>
  <w:style w:type="character" w:customStyle="1" w:styleId="81">
    <w:name w:val="apple-converted-space"/>
    <w:basedOn w:val="34"/>
    <w:qFormat/>
    <w:uiPriority w:val="0"/>
  </w:style>
  <w:style w:type="character" w:customStyle="1" w:styleId="82">
    <w:name w:val="批注文字 Char"/>
    <w:qFormat/>
    <w:uiPriority w:val="0"/>
    <w:rPr>
      <w:rFonts w:ascii="Calibri" w:hAnsi="Calibri"/>
      <w:kern w:val="2"/>
      <w:sz w:val="24"/>
      <w:szCs w:val="24"/>
    </w:rPr>
  </w:style>
  <w:style w:type="character" w:styleId="83">
    <w:name w:val="Placeholder Text"/>
    <w:semiHidden/>
    <w:qFormat/>
    <w:uiPriority w:val="99"/>
    <w:rPr>
      <w:color w:val="808080"/>
    </w:rPr>
  </w:style>
  <w:style w:type="paragraph" w:customStyle="1" w:styleId="8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5">
    <w:name w:val="清单表 1 浅色 - 着色 11"/>
    <w:basedOn w:val="32"/>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6">
    <w:name w:val="修订1"/>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7">
    <w:name w:val="列出段落 字符"/>
    <w:basedOn w:val="34"/>
    <w:link w:val="42"/>
    <w:qFormat/>
    <w:locked/>
    <w:uiPriority w:val="34"/>
    <w:rPr>
      <w:rFonts w:ascii="Times New Roman" w:hAnsi="Times New Roman" w:eastAsia="宋体" w:cs="Times New Roman"/>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1663</Words>
  <Characters>9483</Characters>
  <Lines>79</Lines>
  <Paragraphs>22</Paragraphs>
  <TotalTime>0</TotalTime>
  <ScaleCrop>false</ScaleCrop>
  <LinksUpToDate>false</LinksUpToDate>
  <CharactersWithSpaces>11124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2023-11-10T10:12:00Z</dcterms:created>
  <dcterms:modified xsi:type="dcterms:W3CDTF">2023-12-15T03:25:09Z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463D77E8FF4D45D0B9A158614C5C915E</vt:lpwstr>
  </property>
</Properties>
</file>