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after="210" w:line="600" w:lineRule="exact"/>
        <w:jc w:val="center"/>
        <w:outlineLvl w:val="0"/>
        <w:rPr>
          <w:rFonts w:hint="eastAsia" w:ascii="方正小标宋简体" w:hAnsi="Microsoft YaHei UI" w:eastAsia="方正小标宋简体" w:cs="宋体"/>
          <w:color w:val="222222"/>
          <w:spacing w:val="8"/>
          <w:kern w:val="36"/>
          <w:sz w:val="44"/>
          <w:szCs w:val="44"/>
        </w:rPr>
      </w:pPr>
      <w:r>
        <w:rPr>
          <w:rFonts w:hint="eastAsia" w:ascii="方正小标宋简体" w:hAnsi="Microsoft YaHei UI" w:eastAsia="方正小标宋简体" w:cs="宋体"/>
          <w:color w:val="222222"/>
          <w:spacing w:val="8"/>
          <w:kern w:val="36"/>
          <w:sz w:val="44"/>
          <w:szCs w:val="44"/>
        </w:rPr>
        <w:t>广东省纪委监委通报十起违反</w:t>
      </w:r>
    </w:p>
    <w:p>
      <w:pPr>
        <w:widowControl/>
        <w:shd w:val="clear" w:color="auto" w:fill="FFFFFF"/>
        <w:spacing w:after="210" w:line="600" w:lineRule="exact"/>
        <w:jc w:val="center"/>
        <w:outlineLvl w:val="0"/>
        <w:rPr>
          <w:rFonts w:hint="eastAsia" w:ascii="方正小标宋简体" w:hAnsi="Microsoft YaHei UI" w:eastAsia="方正小标宋简体" w:cs="宋体"/>
          <w:color w:val="222222"/>
          <w:spacing w:val="8"/>
          <w:kern w:val="36"/>
          <w:sz w:val="44"/>
          <w:szCs w:val="44"/>
        </w:rPr>
      </w:pPr>
      <w:r>
        <w:rPr>
          <w:rFonts w:hint="eastAsia" w:ascii="方正小标宋简体" w:hAnsi="Microsoft YaHei UI" w:eastAsia="方正小标宋简体" w:cs="宋体"/>
          <w:color w:val="222222"/>
          <w:spacing w:val="8"/>
          <w:kern w:val="36"/>
          <w:sz w:val="44"/>
          <w:szCs w:val="44"/>
        </w:rPr>
        <w:t>中央八项规定精神典型问题</w:t>
      </w:r>
    </w:p>
    <w:p>
      <w:pPr>
        <w:keepNext w:val="0"/>
        <w:keepLines w:val="0"/>
        <w:pageBreakBefore w:val="0"/>
        <w:widowControl w:val="0"/>
        <w:kinsoku/>
        <w:wordWrap/>
        <w:overflowPunct/>
        <w:topLinePunct w:val="0"/>
        <w:autoSpaceDE/>
        <w:autoSpaceDN/>
        <w:bidi w:val="0"/>
        <w:adjustRightInd/>
        <w:snapToGrid/>
        <w:spacing w:line="560" w:lineRule="exact"/>
        <w:ind w:firstLine="912" w:firstLineChars="200"/>
        <w:textAlignment w:val="auto"/>
        <w:rPr>
          <w:rFonts w:hint="eastAsia" w:ascii="方正小标宋简体" w:hAnsi="Microsoft YaHei UI" w:eastAsia="方正小标宋简体" w:cs="宋体"/>
          <w:color w:val="222222"/>
          <w:spacing w:val="8"/>
          <w:kern w:val="36"/>
          <w:sz w:val="44"/>
          <w:szCs w:val="44"/>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2023年元旦、春节将至，为强化警示教育，严明纪律规矩，营造风清气正的节日氛围，现将我省查处的10起违反中央八项规定精神典型问题通报如下。</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sz w:val="32"/>
          <w:szCs w:val="32"/>
        </w:rPr>
      </w:pPr>
      <w:r>
        <w:rPr>
          <w:rFonts w:hint="eastAsia" w:ascii="仿宋_GB2312" w:eastAsia="仿宋_GB2312"/>
          <w:b/>
          <w:bCs/>
          <w:sz w:val="32"/>
          <w:szCs w:val="32"/>
        </w:rPr>
        <w:t>一、广州市委原常委、政法委原书记谢晓丹违规收受礼品、礼金问题。</w:t>
      </w:r>
      <w:r>
        <w:rPr>
          <w:rFonts w:hint="eastAsia" w:ascii="仿宋_GB2312" w:eastAsia="仿宋_GB2312"/>
          <w:sz w:val="32"/>
          <w:szCs w:val="32"/>
        </w:rPr>
        <w:t>2013年至2021年，谢晓丹先后收受7名公职人员所送礼金共计43万元、港币28万元，以及12名私营企业主所送高档酒水和陈年普洱茶一批、象牙制品2件等礼品。谢晓丹还存在其他严重违纪违法问题。2022年9月，谢晓丹被开除党籍、开除公职，其涉嫌犯罪问题被移送检察机关依法审查起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sz w:val="32"/>
          <w:szCs w:val="32"/>
        </w:rPr>
      </w:pPr>
      <w:r>
        <w:rPr>
          <w:rFonts w:hint="eastAsia" w:ascii="仿宋_GB2312" w:eastAsia="仿宋_GB2312"/>
          <w:b/>
          <w:bCs/>
          <w:sz w:val="32"/>
          <w:szCs w:val="32"/>
        </w:rPr>
        <w:t>二、韶关市政府原党组成员、副市长李欣由下属单位支付私车油费等问题。</w:t>
      </w:r>
      <w:r>
        <w:rPr>
          <w:rFonts w:hint="eastAsia" w:ascii="仿宋_GB2312" w:eastAsia="仿宋_GB2312"/>
          <w:sz w:val="32"/>
          <w:szCs w:val="32"/>
        </w:rPr>
        <w:t>2017年6月至2021年5月，李欣授意下属单位为其办理加油卡并充值7.7万元，供其私家车加油时使用。2013年至2022年，李欣收受3名公职人员和3名私营企业主所送礼金共计67.4万元和一批高档酒水、高档香烟等礼品。李欣还存在其他严重违纪违法问题。2022年9月，李欣被开除党籍、开除公职，其涉嫌犯罪问题被移送检察机关依法审查起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sz w:val="32"/>
          <w:szCs w:val="32"/>
        </w:rPr>
      </w:pPr>
      <w:r>
        <w:rPr>
          <w:rFonts w:hint="eastAsia" w:ascii="仿宋_GB2312" w:eastAsia="仿宋_GB2312"/>
          <w:b/>
          <w:bCs/>
          <w:sz w:val="32"/>
          <w:szCs w:val="32"/>
        </w:rPr>
        <w:t>三、梅州市政协原副主席彭广福接受可能影响公正执行公务的旅游活动安排问题。</w:t>
      </w:r>
      <w:r>
        <w:rPr>
          <w:rFonts w:hint="eastAsia" w:ascii="仿宋_GB2312" w:eastAsia="仿宋_GB2312"/>
          <w:sz w:val="32"/>
          <w:szCs w:val="32"/>
        </w:rPr>
        <w:t>2017年7月至2019年8月，时任梅州市中医医院院长彭广福先后4次接受私营企业主安排，携带亲属赴江西、广西、云南等地旅游，相关费用均由私营企业主支付。彭广福还存在其他严重违法问题。2022年9月，彭广福被开除公职，其涉嫌犯罪问题被移送检察机关依法审查起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sz w:val="32"/>
          <w:szCs w:val="32"/>
        </w:rPr>
      </w:pPr>
      <w:r>
        <w:rPr>
          <w:rFonts w:hint="eastAsia" w:ascii="仿宋_GB2312" w:eastAsia="仿宋_GB2312"/>
          <w:b/>
          <w:bCs/>
          <w:i w:val="0"/>
          <w:iCs w:val="0"/>
          <w:sz w:val="32"/>
          <w:szCs w:val="32"/>
        </w:rPr>
        <w:t>四、省市场监督管理局原党组书记、局长麦教猛违规接受可能影响公正执行公务的宴请等问题。</w:t>
      </w:r>
      <w:r>
        <w:rPr>
          <w:rFonts w:hint="eastAsia" w:ascii="仿宋_GB2312" w:eastAsia="仿宋_GB2312"/>
          <w:sz w:val="32"/>
          <w:szCs w:val="32"/>
        </w:rPr>
        <w:t>2020年7月至12月，麦教猛先后3次接受私营企业主宴请，食用高档菜肴、饮用高档酒水。2021年7月至8月，麦教猛先后3次收受私营企业主以装修款名义所送礼金共计118.6万元。麦教猛还存在其他严重违纪违法问题。2022年9月，麦教猛被开除党籍、开除公职，其涉嫌犯罪问题被移送检察机关依法审查起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sz w:val="32"/>
          <w:szCs w:val="32"/>
        </w:rPr>
      </w:pPr>
      <w:r>
        <w:rPr>
          <w:rFonts w:hint="eastAsia" w:ascii="仿宋_GB2312" w:eastAsia="仿宋_GB2312"/>
          <w:b/>
          <w:bCs/>
          <w:sz w:val="32"/>
          <w:szCs w:val="32"/>
        </w:rPr>
        <w:t>五、省农业农村厅原党组成员、副厅长江毅违规借用管理和服务对象车辆等问题。</w:t>
      </w:r>
      <w:r>
        <w:rPr>
          <w:rFonts w:hint="eastAsia" w:ascii="仿宋_GB2312" w:eastAsia="仿宋_GB2312"/>
          <w:sz w:val="32"/>
          <w:szCs w:val="32"/>
        </w:rPr>
        <w:t>2014年至2021年，江毅利用职务便利，无偿借用私营企业主提供的一辆高档小汽车。2015年8月，江毅接受私营企业主安排到内蒙古旅游，相关费用均由私营企业主支付。江毅还存在其他严重违纪违法问题。2022年9月，江毅被开除党籍、开除公职，其涉嫌犯罪问题被移送检察机关依法审查起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eastAsia="仿宋_GB2312"/>
          <w:sz w:val="32"/>
          <w:szCs w:val="32"/>
        </w:rPr>
      </w:pPr>
      <w:r>
        <w:rPr>
          <w:rFonts w:hint="eastAsia" w:ascii="仿宋_GB2312" w:eastAsia="仿宋_GB2312"/>
          <w:b/>
          <w:bCs/>
          <w:sz w:val="32"/>
          <w:szCs w:val="32"/>
        </w:rPr>
        <w:t>六、省铁路建设投资集团有限公司原党委副书记、总经理王刚违规收受礼品等问题。</w:t>
      </w:r>
      <w:r>
        <w:rPr>
          <w:rFonts w:hint="eastAsia" w:ascii="仿宋_GB2312" w:eastAsia="仿宋_GB2312"/>
          <w:sz w:val="32"/>
          <w:szCs w:val="32"/>
        </w:rPr>
        <w:t>2019年至2021年，王刚在春节期间，先后3次收受私营企业主所送高档酒水一批。2014年至2021年，王刚先后多次接受私营企业主宴请，饮用高档酒水。王刚还存在其他严重违纪违法问题。2021年10月，王刚被开除党籍、开除公职，其涉嫌犯罪问题被移送检察机关依法审查起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_GB2312" w:eastAsia="仿宋_GB2312"/>
          <w:b/>
          <w:bCs/>
          <w:sz w:val="32"/>
          <w:szCs w:val="32"/>
        </w:rPr>
        <w:t>七、揭阳大南海石化工业区原党工委书记、管委会主任陈俊谦违规收受礼品、礼金问题。</w:t>
      </w:r>
      <w:r>
        <w:rPr>
          <w:rFonts w:hint="eastAsia" w:ascii="仿宋_GB2312" w:eastAsia="仿宋_GB2312"/>
          <w:sz w:val="32"/>
          <w:szCs w:val="32"/>
        </w:rPr>
        <w:t>2013年至2021年，陈俊谦收受管理和服务对象所送礼金共计11.2万元和一批高</w:t>
      </w:r>
      <w:r>
        <w:rPr>
          <w:rFonts w:hint="eastAsia" w:ascii="仿宋" w:hAnsi="仿宋" w:eastAsia="仿宋" w:cs="仿宋"/>
          <w:sz w:val="32"/>
          <w:szCs w:val="32"/>
        </w:rPr>
        <w:t>档酒水、冬虫夏草等礼品。陈俊谦还存在其他严重违纪违法问题。2022年7月，陈俊谦被开除党籍、开除公职，其涉嫌犯罪问题被移送检察机关依法审查起诉。</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b/>
          <w:bCs/>
          <w:sz w:val="32"/>
          <w:szCs w:val="32"/>
        </w:rPr>
        <w:t>　八、珠海市政府原副秘书长李宏荣接受可能影响公正执行公务的宴请问题。</w:t>
      </w:r>
      <w:r>
        <w:rPr>
          <w:rFonts w:hint="eastAsia" w:ascii="仿宋" w:hAnsi="仿宋" w:eastAsia="仿宋" w:cs="仿宋"/>
          <w:sz w:val="32"/>
          <w:szCs w:val="32"/>
        </w:rPr>
        <w:t>2021年初，李宏荣接受私营企业主在内部接待场所安排的宴请，食用高档菜肴、饮用高档酒水。李宏荣还存在其他严重违纪违法问题。2022年1月，李宏荣被开除党籍、开除公职，其涉嫌犯罪问题被移送检察机关依法审查起诉。</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b/>
          <w:bCs/>
          <w:sz w:val="32"/>
          <w:szCs w:val="32"/>
        </w:rPr>
        <w:t>　九、阳江市人大常委会原委员王作雄接受可能影响公正执行公务的旅游活动安排问题。</w:t>
      </w:r>
      <w:r>
        <w:rPr>
          <w:rFonts w:hint="eastAsia" w:ascii="仿宋" w:hAnsi="仿宋" w:eastAsia="仿宋" w:cs="仿宋"/>
          <w:sz w:val="32"/>
          <w:szCs w:val="32"/>
        </w:rPr>
        <w:t>2013年10月至2018年12月，王作雄先后5次接受私营企业主安排，赴四川、云南、山西、内蒙古和黑龙江等地旅游，相关费用均由私营企业主支付。王作雄还存在其他严重违纪违法问题。2022年11月，王作雄被开除党籍，按规定取消其相应的退休待遇，其涉嫌犯罪问题被移送检察机关依法审查起诉。</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rPr>
        <w:t>　　</w:t>
      </w:r>
      <w:bookmarkStart w:id="0" w:name="_GoBack"/>
      <w:r>
        <w:rPr>
          <w:rFonts w:hint="eastAsia" w:ascii="仿宋" w:hAnsi="仿宋" w:eastAsia="仿宋" w:cs="仿宋"/>
          <w:b/>
          <w:bCs/>
          <w:sz w:val="32"/>
          <w:szCs w:val="32"/>
        </w:rPr>
        <w:t>十、肇庆市发展和改革局原党组书记、局长袁海平违规打高尔夫球问题。</w:t>
      </w:r>
      <w:bookmarkEnd w:id="0"/>
      <w:r>
        <w:rPr>
          <w:rFonts w:hint="eastAsia" w:ascii="仿宋" w:hAnsi="仿宋" w:eastAsia="仿宋" w:cs="仿宋"/>
          <w:sz w:val="32"/>
          <w:szCs w:val="32"/>
        </w:rPr>
        <w:t>2015年至2019年，袁海平经常与私营企业主到广州、佛山等地打高尔夫球，费用均由私营企业主支付。袁海平还存在其他严重违纪违法问题。2022年8月，袁海平被开除党籍、开除公职，其涉嫌犯罪问题被移送检察机关依法审查起诉。</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rPr>
        <w:t>　　上述10起案例反映的均是风腐交织、风腐一体的典型问题。严肃查处并公开通报这些案例，进一步彰显了党中央和省委坚定不移推进全面从严治党的政治定力和坚定决心，释放了作风建设只有进行时、没有完成时的强烈信号。元旦、春节是纠治“四风”的重要节点，全省各级党组织要深入学习贯彻党的二十大精神和习近平总书记关于作风建设的重要论述，时刻保持永远在路上的坚韧和执着，扛紧扛牢作风建设主体责任，坚持党性党风党纪一起抓，锲而不舍落实中央八项规定精神，持续深化纠治“四风”，坚决打赢作风建设攻坚战持久战。各级领导干部特别是“一把手”要带头严格执行中央八项规定精神，严于律己、严负其责、严管所辖，在守纪律讲规矩方面立标杆、作表率。广大党员干部要以案为鉴、汲取教训，坚持从小事小节上加强修养、严守规矩，自觉筑牢拒腐防变的作风防线。</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r>
        <w:rPr>
          <w:rFonts w:hint="eastAsia" w:ascii="仿宋" w:hAnsi="仿宋" w:eastAsia="仿宋" w:cs="仿宋"/>
          <w:sz w:val="32"/>
          <w:szCs w:val="32"/>
        </w:rPr>
        <w:t>　　各级纪检监察机关要认真履行监督责任，坚持以严的基调强化正风肃纪，以钉钉子精神抓好元旦、春节期间纠“四风”树新风工作。要精准研判所在地区、单位“四风”的形势和特点，把握节日期间“四风”的变化和动向，持续深入整治违规吃喝、公车私用、在隐蔽场所接受宴请、通过快递和电子手段收送礼品礼金等享乐奢靡问题，重点靶向纠治工作中层层加码、麻痹松懈、任性用权、不担当不作为等形式主义、官僚主义问题。要坚持全面从严、一严到底，对党的二十大后依然不收敛不收手、顶风违纪的，综合运用党纪政务处分、组织处理等方式，从严从重处置。要加大监督检查、明察暗访、教育引导力度，既让铁纪“长牙”、发威，又让干部醒悟、知止，推动广大党员干部自觉践行“三个务必”，发扬党的优良传统和作风，自觉反对特权思想和特权行为，廉洁过年、清爽过节，以优良党风政风引领全社会新风正气不断充盈，为推动党的二十大精神在广东落地见效提供坚强作风保障。</w:t>
      </w:r>
    </w:p>
    <w:sectPr>
      <w:footerReference r:id="rId3" w:type="default"/>
      <w:pgSz w:w="11906" w:h="16838"/>
      <w:pgMar w:top="1440" w:right="1531" w:bottom="1440"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D470436B-924D-4DF8-906F-C232986336A9}"/>
  </w:font>
  <w:font w:name="方正小标宋简体">
    <w:panose1 w:val="02000000000000000000"/>
    <w:charset w:val="86"/>
    <w:family w:val="script"/>
    <w:pitch w:val="default"/>
    <w:sig w:usb0="00000001" w:usb1="08000000" w:usb2="00000000" w:usb3="00000000" w:csb0="00040000" w:csb1="00000000"/>
    <w:embedRegular r:id="rId2" w:fontKey="{8911B759-AA84-45AF-A710-AFDB4C8C6C1F}"/>
  </w:font>
  <w:font w:name="Microsoft YaHei UI">
    <w:panose1 w:val="020B0503020204020204"/>
    <w:charset w:val="86"/>
    <w:family w:val="swiss"/>
    <w:pitch w:val="default"/>
    <w:sig w:usb0="80000287" w:usb1="2ACF3C50" w:usb2="00000016" w:usb3="00000000" w:csb0="0004001F" w:csb1="00000000"/>
    <w:embedRegular r:id="rId3" w:fontKey="{F9077683-3C4A-4EBC-84F4-56F1B54865C9}"/>
  </w:font>
  <w:font w:name="仿宋">
    <w:panose1 w:val="02010609060101010101"/>
    <w:charset w:val="86"/>
    <w:family w:val="auto"/>
    <w:pitch w:val="default"/>
    <w:sig w:usb0="800002BF" w:usb1="38CF7CFA" w:usb2="00000016" w:usb3="00000000" w:csb0="00040001" w:csb1="00000000"/>
    <w:embedRegular r:id="rId4" w:fontKey="{0D9ECEEE-AB3A-442F-8F7F-AF7AA488C26E}"/>
  </w:font>
  <w:font w:name="仿宋_GB2312">
    <w:altName w:val="仿宋"/>
    <w:panose1 w:val="02010609030101010101"/>
    <w:charset w:val="86"/>
    <w:family w:val="modern"/>
    <w:pitch w:val="default"/>
    <w:sig w:usb0="00000000" w:usb1="00000000" w:usb2="00000000" w:usb3="00000000" w:csb0="00040000" w:csb1="00000000"/>
    <w:embedRegular r:id="rId5" w:fontKey="{16CA5024-1F5D-4B9B-84B6-1EB4BE35EC4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2NTI5MDgyYWM5ZmI1YjcxM2RlOWI2N2MzMWM0NTQifQ=="/>
  </w:docVars>
  <w:rsids>
    <w:rsidRoot w:val="24DF495F"/>
    <w:rsid w:val="0D9644B9"/>
    <w:rsid w:val="1BF27E9D"/>
    <w:rsid w:val="24DF495F"/>
    <w:rsid w:val="44CB55AC"/>
    <w:rsid w:val="7C136915"/>
    <w:rsid w:val="7C2D63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2391</Words>
  <Characters>2518</Characters>
  <Lines>0</Lines>
  <Paragraphs>0</Paragraphs>
  <TotalTime>5</TotalTime>
  <ScaleCrop>false</ScaleCrop>
  <LinksUpToDate>false</LinksUpToDate>
  <CharactersWithSpaces>2528</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2022-12-30T01:39:00Z</dcterms:created>
  <dc:creator>16515</dc:creator>
  <cp:lastModifiedBy>宋菲</cp:lastModifiedBy>
  <dcterms:modified xsi:type="dcterms:W3CDTF">2022-12-30T02:38:52Z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ED795B4E1BE84325A60975C3D0EB3B23</vt:lpwstr>
  </property>
</Properties>
</file>