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0" w:line="222" w:lineRule="auto"/>
        <w:ind w:right="-92" w:rightChars="-4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附件</w:t>
      </w:r>
      <w:r>
        <w:rPr>
          <w:rFonts w:ascii="仿宋" w:hAnsi="仿宋" w:eastAsia="仿宋" w:cs="仿宋"/>
          <w:spacing w:val="-1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 我校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未结题</w:t>
      </w:r>
      <w:r>
        <w:rPr>
          <w:rFonts w:ascii="仿宋" w:hAnsi="仿宋" w:eastAsia="仿宋" w:cs="仿宋"/>
          <w:spacing w:val="-6"/>
          <w:sz w:val="28"/>
          <w:szCs w:val="28"/>
        </w:rPr>
        <w:t>的 20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20</w:t>
      </w:r>
      <w:r>
        <w:rPr>
          <w:rFonts w:ascii="仿宋" w:hAnsi="仿宋" w:eastAsia="仿宋" w:cs="仿宋"/>
          <w:spacing w:val="-6"/>
          <w:sz w:val="28"/>
          <w:szCs w:val="28"/>
        </w:rPr>
        <w:t>-202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1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年度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广东省教育科学规划项目</w:t>
      </w:r>
      <w:r>
        <w:rPr>
          <w:rFonts w:ascii="仿宋" w:hAnsi="仿宋" w:eastAsia="仿宋" w:cs="仿宋"/>
          <w:spacing w:val="-6"/>
          <w:sz w:val="28"/>
          <w:szCs w:val="28"/>
        </w:rPr>
        <w:t>一览表</w:t>
      </w:r>
    </w:p>
    <w:p>
      <w:pPr>
        <w:spacing w:line="115" w:lineRule="exact"/>
      </w:pPr>
    </w:p>
    <w:tbl>
      <w:tblPr>
        <w:tblStyle w:val="4"/>
        <w:tblW w:w="88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1761"/>
        <w:gridCol w:w="4818"/>
        <w:gridCol w:w="17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520" w:type="dxa"/>
            <w:vAlign w:val="top"/>
          </w:tcPr>
          <w:p>
            <w:pPr>
              <w:spacing w:before="164" w:line="231" w:lineRule="auto"/>
              <w:ind w:left="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761" w:type="dxa"/>
            <w:vAlign w:val="top"/>
          </w:tcPr>
          <w:p>
            <w:pPr>
              <w:spacing w:before="164" w:line="232" w:lineRule="auto"/>
              <w:ind w:left="5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立项编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4818" w:type="dxa"/>
            <w:vAlign w:val="top"/>
          </w:tcPr>
          <w:p>
            <w:pPr>
              <w:spacing w:before="164" w:line="229" w:lineRule="auto"/>
              <w:ind w:left="19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项目名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1782" w:type="dxa"/>
            <w:vAlign w:val="top"/>
          </w:tcPr>
          <w:p>
            <w:pPr>
              <w:spacing w:before="164" w:line="232" w:lineRule="auto"/>
              <w:ind w:left="38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负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责人姓名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2020GXJK522</w:t>
            </w:r>
          </w:p>
        </w:tc>
        <w:tc>
          <w:tcPr>
            <w:tcW w:w="4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课程思政理念下高职专业课教师胜任力现状及发展研究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朱幼恩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2020GXJK583</w:t>
            </w:r>
          </w:p>
        </w:tc>
        <w:tc>
          <w:tcPr>
            <w:tcW w:w="4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“职教20条”背景下广东高职院校教育质量评估体系的研究——基于学生参与度视角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李樨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2021GXJK154</w:t>
            </w:r>
          </w:p>
        </w:tc>
        <w:tc>
          <w:tcPr>
            <w:tcW w:w="4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粤港澳大湾区政策赋能下港澳青年在穗创业机制探究--基于广州市天河区的实证研究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肖金梅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2021GXJK516</w:t>
            </w:r>
          </w:p>
        </w:tc>
        <w:tc>
          <w:tcPr>
            <w:tcW w:w="4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高职院校推进中华优秀传统文化教育课程化的理论与实践研究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李秀媚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2021GXJK710</w:t>
            </w:r>
          </w:p>
        </w:tc>
        <w:tc>
          <w:tcPr>
            <w:tcW w:w="4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基于工作室的高职创业型绿色人才培养研究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朱幼恩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MzUxYWYyYjNmZGVkZDUwNDFkNGY5MzBmZmM2MWUifQ=="/>
  </w:docVars>
  <w:rsids>
    <w:rsidRoot w:val="2A66297E"/>
    <w:rsid w:val="2A66297E"/>
    <w:rsid w:val="2ED577D8"/>
    <w:rsid w:val="3F4259BC"/>
    <w:rsid w:val="4D827B21"/>
    <w:rsid w:val="66792CFF"/>
    <w:rsid w:val="75091C24"/>
    <w:rsid w:val="76D27229"/>
    <w:rsid w:val="774D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41"/>
    <w:basedOn w:val="3"/>
    <w:qFormat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2023-05-06T09:45:00Z</dcterms:created>
  <dc:creator>王晓宇</dc:creator>
  <cp:lastModifiedBy>王晓宇</cp:lastModifiedBy>
  <dcterms:modified xsi:type="dcterms:W3CDTF">2023-05-08T00:34:37Z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C1EA55D978A44837B47B60E52EEB31C0_11</vt:lpwstr>
  </property>
</Properties>
</file>