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2" w:lineRule="auto"/>
        <w:ind w:left="321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ascii="仿宋" w:hAnsi="仿宋" w:eastAsia="仿宋" w:cs="仿宋"/>
          <w:spacing w:val="-12"/>
          <w:sz w:val="28"/>
          <w:szCs w:val="28"/>
        </w:rPr>
        <w:t>附件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  我校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未结题</w:t>
      </w:r>
      <w:r>
        <w:rPr>
          <w:rFonts w:ascii="仿宋" w:hAnsi="仿宋" w:eastAsia="仿宋" w:cs="仿宋"/>
          <w:spacing w:val="-6"/>
          <w:sz w:val="28"/>
          <w:szCs w:val="28"/>
        </w:rPr>
        <w:t>的 2018-202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年度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广东省普通高校</w:t>
      </w:r>
      <w:r>
        <w:rPr>
          <w:rFonts w:ascii="仿宋" w:hAnsi="仿宋" w:eastAsia="仿宋" w:cs="仿宋"/>
          <w:spacing w:val="-6"/>
          <w:sz w:val="28"/>
          <w:szCs w:val="28"/>
        </w:rPr>
        <w:t>科研项目一览表</w:t>
      </w:r>
    </w:p>
    <w:p>
      <w:pPr>
        <w:spacing w:line="115" w:lineRule="exact"/>
      </w:pPr>
    </w:p>
    <w:tbl>
      <w:tblPr>
        <w:tblStyle w:val="4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846"/>
        <w:gridCol w:w="4733"/>
        <w:gridCol w:w="1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" w:hRule="atLeast"/>
        </w:trPr>
        <w:tc>
          <w:tcPr>
            <w:tcW w:w="520" w:type="dxa"/>
            <w:vAlign w:val="top"/>
          </w:tcPr>
          <w:p>
            <w:pPr>
              <w:spacing w:before="164" w:line="231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46" w:type="dxa"/>
            <w:vAlign w:val="top"/>
          </w:tcPr>
          <w:p>
            <w:pPr>
              <w:spacing w:before="164" w:line="232" w:lineRule="auto"/>
              <w:ind w:left="5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立项编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733" w:type="dxa"/>
            <w:vAlign w:val="top"/>
          </w:tcPr>
          <w:p>
            <w:pPr>
              <w:spacing w:before="164" w:line="229" w:lineRule="auto"/>
              <w:ind w:left="19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782" w:type="dxa"/>
            <w:vAlign w:val="top"/>
          </w:tcPr>
          <w:p>
            <w:pPr>
              <w:spacing w:before="164" w:line="232" w:lineRule="auto"/>
              <w:ind w:left="3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" w:type="dxa"/>
            <w:vAlign w:val="top"/>
          </w:tcPr>
          <w:p>
            <w:pPr>
              <w:spacing w:before="221" w:line="186" w:lineRule="auto"/>
              <w:ind w:left="214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6" w:type="dxa"/>
            <w:vAlign w:val="top"/>
          </w:tcPr>
          <w:p>
            <w:pPr>
              <w:spacing w:before="220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061</w:t>
            </w:r>
          </w:p>
        </w:tc>
        <w:tc>
          <w:tcPr>
            <w:tcW w:w="4733" w:type="dxa"/>
            <w:vAlign w:val="top"/>
          </w:tcPr>
          <w:p>
            <w:pPr>
              <w:spacing w:before="185" w:line="231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于深度序列学习的流域极端降水预测方法研究</w:t>
            </w:r>
          </w:p>
        </w:tc>
        <w:tc>
          <w:tcPr>
            <w:tcW w:w="1782" w:type="dxa"/>
            <w:vAlign w:val="top"/>
          </w:tcPr>
          <w:p>
            <w:pPr>
              <w:spacing w:before="184" w:line="232" w:lineRule="auto"/>
              <w:ind w:left="5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雪真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3" w:line="186" w:lineRule="auto"/>
              <w:ind w:left="21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6" w:type="dxa"/>
            <w:vAlign w:val="top"/>
          </w:tcPr>
          <w:p>
            <w:pPr>
              <w:spacing w:before="252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102</w:t>
            </w:r>
          </w:p>
        </w:tc>
        <w:tc>
          <w:tcPr>
            <w:tcW w:w="4733" w:type="dxa"/>
            <w:vAlign w:val="top"/>
          </w:tcPr>
          <w:p>
            <w:pPr>
              <w:spacing w:before="62" w:line="260" w:lineRule="auto"/>
              <w:ind w:left="2066" w:right="54" w:hanging="19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南方主载“灿烂”蓝莓中花青素提取工艺及组成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分研究</w:t>
            </w:r>
          </w:p>
        </w:tc>
        <w:tc>
          <w:tcPr>
            <w:tcW w:w="1782" w:type="dxa"/>
            <w:vAlign w:val="top"/>
          </w:tcPr>
          <w:p>
            <w:pPr>
              <w:spacing w:before="217" w:line="232" w:lineRule="auto"/>
              <w:ind w:left="6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刘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0" w:type="dxa"/>
            <w:vAlign w:val="top"/>
          </w:tcPr>
          <w:p>
            <w:pPr>
              <w:spacing w:before="141" w:line="186" w:lineRule="auto"/>
              <w:ind w:left="21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6" w:type="dxa"/>
            <w:vAlign w:val="top"/>
          </w:tcPr>
          <w:p>
            <w:pPr>
              <w:spacing w:before="105" w:line="234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114</w:t>
            </w:r>
          </w:p>
        </w:tc>
        <w:tc>
          <w:tcPr>
            <w:tcW w:w="4733" w:type="dxa"/>
            <w:vAlign w:val="top"/>
          </w:tcPr>
          <w:p>
            <w:pPr>
              <w:spacing w:before="105" w:line="229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流程式”护肤品旅行包装组合设计研究</w:t>
            </w:r>
          </w:p>
        </w:tc>
        <w:tc>
          <w:tcPr>
            <w:tcW w:w="1782" w:type="dxa"/>
            <w:vAlign w:val="top"/>
          </w:tcPr>
          <w:p>
            <w:pPr>
              <w:spacing w:before="104" w:line="232" w:lineRule="auto"/>
              <w:ind w:left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黄子威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0" w:type="dxa"/>
            <w:vAlign w:val="top"/>
          </w:tcPr>
          <w:p>
            <w:pPr>
              <w:spacing w:before="196" w:line="184" w:lineRule="auto"/>
              <w:ind w:left="21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6" w:type="dxa"/>
            <w:vAlign w:val="top"/>
          </w:tcPr>
          <w:p>
            <w:pPr>
              <w:spacing w:before="158" w:line="234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115</w:t>
            </w:r>
          </w:p>
        </w:tc>
        <w:tc>
          <w:tcPr>
            <w:tcW w:w="4733" w:type="dxa"/>
            <w:vAlign w:val="top"/>
          </w:tcPr>
          <w:p>
            <w:pPr>
              <w:spacing w:before="158" w:line="230" w:lineRule="auto"/>
              <w:ind w:left="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叶林生态系统总初级生产力驱动因素分析与预测</w:t>
            </w:r>
          </w:p>
        </w:tc>
        <w:tc>
          <w:tcPr>
            <w:tcW w:w="1782" w:type="dxa"/>
            <w:vAlign w:val="top"/>
          </w:tcPr>
          <w:p>
            <w:pPr>
              <w:spacing w:before="157" w:line="232" w:lineRule="auto"/>
              <w:ind w:left="5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陈月明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20" w:type="dxa"/>
            <w:vAlign w:val="top"/>
          </w:tcPr>
          <w:p>
            <w:pPr>
              <w:spacing w:before="252" w:line="186" w:lineRule="auto"/>
              <w:ind w:left="213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6" w:type="dxa"/>
            <w:vAlign w:val="top"/>
          </w:tcPr>
          <w:p>
            <w:pPr>
              <w:spacing w:before="251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018</w:t>
            </w:r>
            <w:r>
              <w:rPr>
                <w:rFonts w:ascii="仿宋" w:hAnsi="仿宋" w:eastAsia="仿宋" w:cs="仿宋"/>
                <w:sz w:val="20"/>
                <w:szCs w:val="20"/>
              </w:rPr>
              <w:t>GWQNCX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053</w:t>
            </w:r>
          </w:p>
        </w:tc>
        <w:tc>
          <w:tcPr>
            <w:tcW w:w="4733" w:type="dxa"/>
            <w:vAlign w:val="top"/>
          </w:tcPr>
          <w:p>
            <w:pPr>
              <w:spacing w:before="60" w:line="260" w:lineRule="auto"/>
              <w:ind w:left="1958" w:right="107" w:hanging="18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岭南文化-传统手工艺广绣在现代服装设计中创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应用研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究</w:t>
            </w:r>
          </w:p>
        </w:tc>
        <w:tc>
          <w:tcPr>
            <w:tcW w:w="1782" w:type="dxa"/>
            <w:vAlign w:val="top"/>
          </w:tcPr>
          <w:p>
            <w:pPr>
              <w:spacing w:before="215" w:line="232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陈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0" w:type="dxa"/>
            <w:vAlign w:val="top"/>
          </w:tcPr>
          <w:p>
            <w:pPr>
              <w:spacing w:before="195" w:line="184" w:lineRule="auto"/>
              <w:ind w:left="21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46" w:type="dxa"/>
            <w:vAlign w:val="top"/>
          </w:tcPr>
          <w:p>
            <w:pPr>
              <w:spacing w:before="192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065</w:t>
            </w:r>
          </w:p>
        </w:tc>
        <w:tc>
          <w:tcPr>
            <w:tcW w:w="4733" w:type="dxa"/>
            <w:vAlign w:val="top"/>
          </w:tcPr>
          <w:p>
            <w:pPr>
              <w:spacing w:before="157" w:line="229" w:lineRule="auto"/>
              <w:ind w:left="3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花倒水莲皂苷合成关键酶基因的克隆鉴定</w:t>
            </w:r>
          </w:p>
        </w:tc>
        <w:tc>
          <w:tcPr>
            <w:tcW w:w="1782" w:type="dxa"/>
            <w:vAlign w:val="top"/>
          </w:tcPr>
          <w:p>
            <w:pPr>
              <w:spacing w:before="157" w:line="232" w:lineRule="auto"/>
              <w:ind w:left="6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胡</w:t>
            </w:r>
            <w:r>
              <w:rPr>
                <w:rFonts w:ascii="仿宋" w:hAnsi="仿宋" w:eastAsia="仿宋" w:cs="仿宋"/>
                <w:sz w:val="20"/>
                <w:szCs w:val="20"/>
              </w:rPr>
              <w:t>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20" w:type="dxa"/>
            <w:vAlign w:val="top"/>
          </w:tcPr>
          <w:p>
            <w:pPr>
              <w:spacing w:before="168" w:line="186" w:lineRule="auto"/>
              <w:ind w:left="212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6" w:type="dxa"/>
            <w:vAlign w:val="top"/>
          </w:tcPr>
          <w:p>
            <w:pPr>
              <w:spacing w:before="167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067</w:t>
            </w:r>
          </w:p>
        </w:tc>
        <w:tc>
          <w:tcPr>
            <w:tcW w:w="4733" w:type="dxa"/>
            <w:vAlign w:val="top"/>
          </w:tcPr>
          <w:p>
            <w:pPr>
              <w:spacing w:before="132" w:line="229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江三角洲地区极端风暴潮灾害风险精细化评估</w:t>
            </w:r>
          </w:p>
        </w:tc>
        <w:tc>
          <w:tcPr>
            <w:tcW w:w="1782" w:type="dxa"/>
            <w:vAlign w:val="top"/>
          </w:tcPr>
          <w:p>
            <w:pPr>
              <w:spacing w:before="132" w:line="231" w:lineRule="auto"/>
              <w:ind w:left="5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王喜娜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4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46" w:type="dxa"/>
            <w:vAlign w:val="top"/>
          </w:tcPr>
          <w:p>
            <w:pPr>
              <w:spacing w:before="254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068</w:t>
            </w:r>
          </w:p>
        </w:tc>
        <w:tc>
          <w:tcPr>
            <w:tcW w:w="4733" w:type="dxa"/>
            <w:vAlign w:val="top"/>
          </w:tcPr>
          <w:p>
            <w:pPr>
              <w:spacing w:before="220" w:line="229" w:lineRule="auto"/>
              <w:ind w:left="1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林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药种质资源选育圃建立</w:t>
            </w:r>
          </w:p>
        </w:tc>
        <w:tc>
          <w:tcPr>
            <w:tcW w:w="1782" w:type="dxa"/>
            <w:vAlign w:val="top"/>
          </w:tcPr>
          <w:p>
            <w:pPr>
              <w:spacing w:before="63" w:line="232" w:lineRule="auto"/>
              <w:ind w:left="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李静</w:t>
            </w:r>
          </w:p>
          <w:p>
            <w:pPr>
              <w:spacing w:before="60" w:line="229" w:lineRule="auto"/>
              <w:ind w:left="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(已交结题材料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46" w:type="dxa"/>
            <w:vAlign w:val="top"/>
          </w:tcPr>
          <w:p>
            <w:pPr>
              <w:spacing w:before="255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058</w:t>
            </w:r>
          </w:p>
        </w:tc>
        <w:tc>
          <w:tcPr>
            <w:tcW w:w="4733" w:type="dxa"/>
            <w:vAlign w:val="top"/>
          </w:tcPr>
          <w:p>
            <w:pPr>
              <w:spacing w:before="64" w:line="259" w:lineRule="auto"/>
              <w:ind w:left="1138" w:right="54" w:hanging="10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市困难立地绿化对城市空气质量的影响研究——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以粤港澳大湾区城市群为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列淦文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6" w:line="187" w:lineRule="auto"/>
              <w:ind w:left="176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059</w:t>
            </w:r>
          </w:p>
        </w:tc>
        <w:tc>
          <w:tcPr>
            <w:tcW w:w="4733" w:type="dxa"/>
            <w:vAlign w:val="top"/>
          </w:tcPr>
          <w:p>
            <w:pPr>
              <w:spacing w:before="66" w:line="259" w:lineRule="auto"/>
              <w:ind w:left="1642" w:right="54" w:hanging="15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藿香种质资源收集及基于分子水平的优质种苗快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速鉴定体系建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王晓宇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20" w:type="dxa"/>
            <w:vAlign w:val="top"/>
          </w:tcPr>
          <w:p>
            <w:pPr>
              <w:spacing w:before="172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6" w:type="dxa"/>
            <w:vAlign w:val="top"/>
          </w:tcPr>
          <w:p>
            <w:pPr>
              <w:spacing w:before="173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060</w:t>
            </w:r>
          </w:p>
        </w:tc>
        <w:tc>
          <w:tcPr>
            <w:tcW w:w="4733" w:type="dxa"/>
            <w:vAlign w:val="top"/>
          </w:tcPr>
          <w:p>
            <w:pPr>
              <w:spacing w:before="137" w:line="229" w:lineRule="auto"/>
              <w:ind w:left="4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于数据挖掘的杉木生长区域适宜性研究</w:t>
            </w:r>
          </w:p>
        </w:tc>
        <w:tc>
          <w:tcPr>
            <w:tcW w:w="1782" w:type="dxa"/>
            <w:vAlign w:val="top"/>
          </w:tcPr>
          <w:p>
            <w:pPr>
              <w:spacing w:before="137" w:line="231" w:lineRule="auto"/>
              <w:ind w:left="6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陆</w:t>
            </w:r>
            <w:r>
              <w:rPr>
                <w:rFonts w:ascii="仿宋" w:hAnsi="仿宋" w:eastAsia="仿宋" w:cs="仿宋"/>
                <w:sz w:val="20"/>
                <w:szCs w:val="20"/>
              </w:rPr>
              <w:t>康英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6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019</w:t>
            </w:r>
            <w:r>
              <w:rPr>
                <w:rFonts w:ascii="仿宋" w:hAnsi="仿宋" w:eastAsia="仿宋" w:cs="仿宋"/>
                <w:sz w:val="20"/>
                <w:szCs w:val="20"/>
              </w:rPr>
              <w:t>GWQNCX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057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1748" w:right="54" w:hanging="16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非遗传承创新语境下香云纱工艺在现代服饰品中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计应用研究</w:t>
            </w:r>
          </w:p>
        </w:tc>
        <w:tc>
          <w:tcPr>
            <w:tcW w:w="1782" w:type="dxa"/>
            <w:vAlign w:val="top"/>
          </w:tcPr>
          <w:p>
            <w:pPr>
              <w:spacing w:before="220" w:line="229" w:lineRule="auto"/>
              <w:ind w:left="5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晶晶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20" w:type="dxa"/>
            <w:vAlign w:val="top"/>
          </w:tcPr>
          <w:p>
            <w:pPr>
              <w:spacing w:before="167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6" w:type="dxa"/>
            <w:vAlign w:val="top"/>
          </w:tcPr>
          <w:p>
            <w:pPr>
              <w:spacing w:before="168" w:line="186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KTSCX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269</w:t>
            </w:r>
          </w:p>
        </w:tc>
        <w:tc>
          <w:tcPr>
            <w:tcW w:w="4733" w:type="dxa"/>
            <w:vAlign w:val="top"/>
          </w:tcPr>
          <w:p>
            <w:pPr>
              <w:spacing w:before="132" w:line="230" w:lineRule="auto"/>
              <w:ind w:left="6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广东松材线虫疫木内栖真菌分离鉴定</w:t>
            </w:r>
          </w:p>
        </w:tc>
        <w:tc>
          <w:tcPr>
            <w:tcW w:w="1782" w:type="dxa"/>
            <w:vAlign w:val="top"/>
          </w:tcPr>
          <w:p>
            <w:pPr>
              <w:spacing w:before="131" w:line="232" w:lineRule="auto"/>
              <w:ind w:left="6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张</w:t>
            </w:r>
            <w:r>
              <w:rPr>
                <w:rFonts w:ascii="仿宋" w:hAnsi="仿宋" w:eastAsia="仿宋" w:cs="仿宋"/>
                <w:sz w:val="20"/>
                <w:szCs w:val="20"/>
              </w:rPr>
              <w:t>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7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6" w:type="dxa"/>
            <w:vAlign w:val="top"/>
          </w:tcPr>
          <w:p>
            <w:pPr>
              <w:spacing w:before="255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WTSCX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193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1645" w:right="54" w:hanging="15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媒体背景下高职电商直播基地校企协同育人模式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实践路径研究</w:t>
            </w:r>
          </w:p>
        </w:tc>
        <w:tc>
          <w:tcPr>
            <w:tcW w:w="1782" w:type="dxa"/>
            <w:vAlign w:val="top"/>
          </w:tcPr>
          <w:p>
            <w:pPr>
              <w:spacing w:before="219" w:line="232" w:lineRule="auto"/>
              <w:ind w:left="5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尹冬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76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183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2273" w:right="54" w:hanging="2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于源解析的广州城市绿地土壤重金属污染风险评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价</w:t>
            </w:r>
          </w:p>
        </w:tc>
        <w:tc>
          <w:tcPr>
            <w:tcW w:w="1782" w:type="dxa"/>
            <w:vAlign w:val="top"/>
          </w:tcPr>
          <w:p>
            <w:pPr>
              <w:spacing w:before="220" w:line="229" w:lineRule="auto"/>
              <w:ind w:left="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唐雄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6" w:line="186" w:lineRule="auto"/>
              <w:ind w:left="16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KQNCX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184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2169" w:right="54" w:hanging="2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于海绵城市建设的珠三角城市绿地土壤蓄渗能力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价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贾重建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top"/>
          </w:tcPr>
          <w:p>
            <w:pPr>
              <w:spacing w:before="255" w:line="187" w:lineRule="auto"/>
              <w:ind w:left="16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151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802" w:right="54" w:hanging="7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于使用后评价的城市微型公共空间模式构建策略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研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—— 以广州市开放式小区为例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2" w:lineRule="auto"/>
              <w:ind w:left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谢朝楠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top"/>
          </w:tcPr>
          <w:p>
            <w:pPr>
              <w:spacing w:before="257" w:line="186" w:lineRule="auto"/>
              <w:ind w:left="16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846" w:type="dxa"/>
            <w:vAlign w:val="top"/>
          </w:tcPr>
          <w:p>
            <w:pPr>
              <w:spacing w:before="256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020</w:t>
            </w:r>
            <w:r>
              <w:rPr>
                <w:rFonts w:ascii="仿宋" w:hAnsi="仿宋" w:eastAsia="仿宋" w:cs="仿宋"/>
                <w:sz w:val="20"/>
                <w:szCs w:val="20"/>
              </w:rPr>
              <w:t>WQNCX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152</w:t>
            </w:r>
          </w:p>
        </w:tc>
        <w:tc>
          <w:tcPr>
            <w:tcW w:w="4733" w:type="dxa"/>
            <w:vAlign w:val="top"/>
          </w:tcPr>
          <w:p>
            <w:pPr>
              <w:spacing w:before="65" w:line="259" w:lineRule="auto"/>
              <w:ind w:left="1664" w:right="54" w:hanging="15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东省自然保护区生态旅游减贫效应评价研究——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以粤北地区为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例</w:t>
            </w:r>
          </w:p>
        </w:tc>
        <w:tc>
          <w:tcPr>
            <w:tcW w:w="1782" w:type="dxa"/>
            <w:vAlign w:val="top"/>
          </w:tcPr>
          <w:p>
            <w:pPr>
              <w:spacing w:before="220" w:line="231" w:lineRule="auto"/>
              <w:ind w:left="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李樨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2021KTSCX254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植物病原线虫拮抗放线菌的分离、筛选与鉴定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王宏洪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2021KTSCX255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广东地区蚧虫种类调查及鉴定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黄少彬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2021WTSCX182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课程思政视域下高职院校岭南传统体育教学提升学生文化自信研究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钟丹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2021WTSCX183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广式家具传统纹样库建设及应用研究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2021KQNCX188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罗伊氏乳杆菌通过miR-196a抑制肠上皮细胞炎症反应和凋亡在肠炎治疗中的机制研究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谢梅英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2021KQNCX189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嘉宝果不同品种在广州地区的物候期和农艺性状研究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覃俏梅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2021WQNCX170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基于参数化技术的传统广作家具再设计研究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张佳琦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2021WQNCX171</w:t>
            </w:r>
          </w:p>
        </w:tc>
        <w:tc>
          <w:tcPr>
            <w:tcW w:w="4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珠三角上市企业技术创新及其影响因素研究——基于研发投入与专利产出的视角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刘晓丽</w:t>
            </w:r>
          </w:p>
        </w:tc>
      </w:tr>
    </w:tbl>
    <w:p>
      <w:pPr>
        <w:spacing w:before="256" w:line="187" w:lineRule="auto"/>
        <w:ind w:left="298"/>
        <w:rPr>
          <w:rFonts w:ascii="仿宋" w:hAnsi="仿宋" w:eastAsia="仿宋" w:cs="仿宋"/>
          <w:spacing w:val="7"/>
          <w:sz w:val="20"/>
          <w:szCs w:val="20"/>
        </w:rPr>
      </w:pPr>
    </w:p>
    <w:sectPr>
      <w:pgSz w:w="11906" w:h="16839"/>
      <w:pgMar w:top="1431" w:right="1157" w:bottom="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dlMzUxYWYyYjNmZGVkZDUwNDFkNGY5MzBmZmM2MWUifQ=="/>
  </w:docVars>
  <w:rsids>
    <w:rsidRoot w:val="00000000"/>
    <w:rsid w:val="09976EE0"/>
    <w:rsid w:val="221042EE"/>
    <w:rsid w:val="66C0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2022-11-11T15:50:00Z</dcterms:created>
  <dc:creator>王晓宇</dc:creator>
  <cp:lastModifiedBy>王晓宇</cp:lastModifiedBy>
  <dcterms:modified xsi:type="dcterms:W3CDTF">2023-05-06T09:51:04Z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2023-05-05T15:26:59Z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C5EC9B4BF2D84B8D94AE81BB9772D6AD_12</vt:lpwstr>
  </property>
</Properties>
</file>