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广东生态工程职业学院运动场东侧围墙修复项目</w:t>
      </w:r>
    </w:p>
    <w:p>
      <w:pPr>
        <w:jc w:val="center"/>
        <w:rPr>
          <w:rFonts w:hint="eastAsia"/>
          <w:lang w:val="en-US" w:eastAsia="zh-CN"/>
        </w:rPr>
      </w:pPr>
      <w:r>
        <w:rPr>
          <w:rFonts w:hint="eastAsia" w:asciiTheme="majorEastAsia" w:hAnsiTheme="majorEastAsia" w:eastAsiaTheme="majorEastAsia" w:cstheme="majorEastAsia"/>
          <w:b/>
          <w:sz w:val="36"/>
          <w:szCs w:val="36"/>
          <w:lang w:val="en-US" w:eastAsia="zh-CN"/>
        </w:rPr>
        <w:t>需求书</w:t>
      </w:r>
    </w:p>
    <w:p>
      <w:pPr>
        <w:spacing w:line="360" w:lineRule="auto"/>
        <w:jc w:val="left"/>
        <w:rPr>
          <w:rFonts w:hint="eastAsia" w:ascii="宋体" w:hAnsi="宋体" w:eastAsia="宋体" w:cs="宋体"/>
          <w:b w:val="0"/>
          <w:bCs w:val="0"/>
          <w:sz w:val="28"/>
          <w:szCs w:val="28"/>
        </w:rPr>
      </w:pPr>
    </w:p>
    <w:p>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广东生态工程职业学院运动场东侧围墙修复项目</w:t>
      </w:r>
    </w:p>
    <w:p>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186252.98元</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u w:val="single"/>
          <w:lang w:val="en-US" w:eastAsia="zh-CN"/>
        </w:rPr>
        <w:t xml:space="preserve">            </w:t>
      </w:r>
      <w:r>
        <w:rPr>
          <w:rFonts w:hint="eastAsia" w:ascii="宋体" w:hAnsi="宋体" w:cs="宋体"/>
          <w:b w:val="0"/>
          <w:bCs w:val="0"/>
          <w:sz w:val="28"/>
          <w:szCs w:val="28"/>
          <w:lang w:val="en-US" w:eastAsia="zh-CN"/>
        </w:rPr>
        <w:t>元（超过预算金额则视为无效报价）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投标人是具有独立承担民事责任能力的法人或其他组织；（提供营业执照、税务登记证及组织机构代码证、或三证合一复印机件）；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活动前三年内，在经营活动中没有重大违法记录；</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须具备广东政府采购智慧云平台电子卖场-集采馆-定点集市-修缮工程供应商，服务区域包括广州市，且在有效期内（投标时提供广东政府采购智慧云平台电子卖场-集采馆-定点集市-修缮工程供应商截图、且服务区域包括广州市），以截图纸质加盖公章为准。</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本项目中选后需在定点集市进行定点议价采购。中标供应商如未按要求进行施工则取消中标资格和上报平台进行处理。</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报价时密封提交，否则视为无效报价。</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5</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23</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pPr>
        <w:spacing w:line="360" w:lineRule="auto"/>
        <w:ind w:firstLine="560" w:firstLineChars="20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投标地址：广州市天河区广汕一路297号广东生态工程职业学院办公楼203室，可通过快递寄送（必须用顺丰快递）或现场递交。</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cs="宋体"/>
          <w:b/>
          <w:bCs/>
          <w:sz w:val="24"/>
          <w:szCs w:val="24"/>
          <w:lang w:val="en-US" w:eastAsia="zh-CN"/>
        </w:rPr>
      </w:pPr>
      <w:r>
        <w:rPr>
          <w:rFonts w:hint="eastAsia" w:ascii="宋体" w:hAnsi="宋体" w:cs="宋体"/>
          <w:b/>
          <w:bCs/>
          <w:sz w:val="24"/>
          <w:szCs w:val="24"/>
          <w:lang w:val="en-US" w:eastAsia="zh-CN"/>
        </w:rPr>
        <w:t>注：本项目带“★”标注号为必须响应的实质性条款，供应商须作出实质性响应，如不响应将导致废标。</w:t>
      </w:r>
    </w:p>
    <w:tbl>
      <w:tblPr>
        <w:tblStyle w:val="11"/>
        <w:tblW w:w="4998" w:type="pct"/>
        <w:jc w:val="center"/>
        <w:tblLayout w:type="fixed"/>
        <w:tblCellMar>
          <w:top w:w="0" w:type="dxa"/>
          <w:left w:w="108" w:type="dxa"/>
          <w:bottom w:w="0" w:type="dxa"/>
          <w:right w:w="108" w:type="dxa"/>
        </w:tblCellMar>
      </w:tblPr>
      <w:tblGrid>
        <w:gridCol w:w="1718"/>
        <w:gridCol w:w="6801"/>
      </w:tblGrid>
      <w:tr>
        <w:tblPrEx>
          <w:tblCellMar>
            <w:top w:w="0" w:type="dxa"/>
            <w:left w:w="108" w:type="dxa"/>
            <w:bottom w:w="0" w:type="dxa"/>
            <w:right w:w="108" w:type="dxa"/>
          </w:tblCellMar>
        </w:tblPrEx>
        <w:trPr>
          <w:trHeight w:val="893" w:hRule="atLeast"/>
          <w:jc w:val="center"/>
        </w:trPr>
        <w:tc>
          <w:tcPr>
            <w:tcW w:w="100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val="en-US" w:eastAsia="zh-CN" w:bidi="ar"/>
              </w:rPr>
              <w:t>类别</w:t>
            </w:r>
          </w:p>
        </w:tc>
        <w:tc>
          <w:tcPr>
            <w:tcW w:w="39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r>
      <w:tr>
        <w:tblPrEx>
          <w:tblCellMar>
            <w:top w:w="0" w:type="dxa"/>
            <w:left w:w="108" w:type="dxa"/>
            <w:bottom w:w="0" w:type="dxa"/>
            <w:right w:w="108" w:type="dxa"/>
          </w:tblCellMar>
        </w:tblPrEx>
        <w:trPr>
          <w:trHeight w:val="1357" w:hRule="atLeast"/>
          <w:jc w:val="center"/>
        </w:trPr>
        <w:tc>
          <w:tcPr>
            <w:tcW w:w="100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1.项目概况</w:t>
            </w:r>
          </w:p>
        </w:tc>
        <w:tc>
          <w:tcPr>
            <w:tcW w:w="39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numPr>
                <w:ilvl w:val="0"/>
                <w:numId w:val="0"/>
              </w:numPr>
              <w:ind w:leftChars="0"/>
              <w:jc w:val="left"/>
              <w:textAlignment w:val="center"/>
              <w:rPr>
                <w:rFonts w:hint="eastAsia" w:ascii="仿宋" w:hAnsi="仿宋" w:eastAsia="仿宋" w:cs="仿宋"/>
                <w:kern w:val="0"/>
                <w:sz w:val="24"/>
                <w:lang w:bidi="ar"/>
              </w:rPr>
            </w:pPr>
            <w:r>
              <w:rPr>
                <w:rFonts w:hint="eastAsia" w:ascii="仿宋" w:hAnsi="仿宋" w:eastAsia="仿宋" w:cs="仿宋"/>
                <w:b/>
                <w:bCs/>
                <w:kern w:val="0"/>
                <w:sz w:val="24"/>
                <w:lang w:val="en-US" w:eastAsia="zh-CN" w:bidi="ar"/>
              </w:rPr>
              <w:t>1.1工期：</w:t>
            </w:r>
            <w:r>
              <w:rPr>
                <w:rFonts w:hint="eastAsia" w:ascii="仿宋" w:hAnsi="仿宋" w:eastAsia="仿宋" w:cs="仿宋"/>
                <w:kern w:val="0"/>
                <w:sz w:val="24"/>
                <w:lang w:bidi="ar"/>
              </w:rPr>
              <w:t>★签订合同之日起</w:t>
            </w:r>
            <w:r>
              <w:rPr>
                <w:rFonts w:hint="eastAsia" w:ascii="仿宋" w:hAnsi="仿宋" w:eastAsia="仿宋" w:cs="仿宋"/>
                <w:kern w:val="0"/>
                <w:sz w:val="24"/>
                <w:lang w:val="en-US" w:eastAsia="zh-CN" w:bidi="ar"/>
              </w:rPr>
              <w:t>20</w:t>
            </w:r>
            <w:r>
              <w:rPr>
                <w:rFonts w:hint="eastAsia" w:ascii="仿宋" w:hAnsi="仿宋" w:eastAsia="仿宋" w:cs="仿宋"/>
                <w:kern w:val="0"/>
                <w:sz w:val="24"/>
                <w:lang w:bidi="ar"/>
              </w:rPr>
              <w:t xml:space="preserve"> 天内完工(具体开工时间以开工报审为准)。</w:t>
            </w:r>
          </w:p>
          <w:p>
            <w:pPr>
              <w:widowControl/>
              <w:numPr>
                <w:ilvl w:val="0"/>
                <w:numId w:val="0"/>
              </w:numPr>
              <w:jc w:val="left"/>
              <w:textAlignment w:val="center"/>
              <w:rPr>
                <w:rFonts w:ascii="仿宋" w:hAnsi="仿宋" w:eastAsia="仿宋" w:cs="仿宋"/>
                <w:kern w:val="0"/>
                <w:sz w:val="24"/>
                <w:lang w:bidi="ar"/>
              </w:rPr>
            </w:pPr>
            <w:r>
              <w:rPr>
                <w:rFonts w:hint="eastAsia" w:ascii="仿宋" w:hAnsi="仿宋" w:eastAsia="仿宋" w:cs="仿宋"/>
                <w:b/>
                <w:bCs/>
                <w:kern w:val="0"/>
                <w:sz w:val="24"/>
                <w:lang w:val="en-US" w:eastAsia="zh-CN" w:bidi="ar"/>
              </w:rPr>
              <w:t>1.2采购限价：</w:t>
            </w:r>
            <w:r>
              <w:rPr>
                <w:rFonts w:hint="eastAsia" w:ascii="仿宋" w:hAnsi="仿宋" w:eastAsia="仿宋" w:cs="仿宋"/>
                <w:kern w:val="0"/>
                <w:sz w:val="24"/>
                <w:lang w:val="en-US" w:eastAsia="zh-CN" w:bidi="ar"/>
              </w:rPr>
              <w:t>人民币</w:t>
            </w:r>
            <w:r>
              <w:rPr>
                <w:rFonts w:hint="eastAsia" w:ascii="仿宋" w:hAnsi="仿宋" w:eastAsia="仿宋" w:cs="仿宋"/>
                <w:kern w:val="0"/>
                <w:sz w:val="24"/>
                <w:u w:val="single"/>
                <w:lang w:val="en-US" w:eastAsia="zh-CN" w:bidi="ar"/>
              </w:rPr>
              <w:t xml:space="preserve">186252.98 </w:t>
            </w:r>
            <w:r>
              <w:rPr>
                <w:rFonts w:hint="eastAsia" w:ascii="仿宋" w:hAnsi="仿宋" w:eastAsia="仿宋" w:cs="仿宋"/>
                <w:kern w:val="0"/>
                <w:sz w:val="24"/>
                <w:lang w:val="en-US" w:eastAsia="zh-CN" w:bidi="ar"/>
              </w:rPr>
              <w:t>元,其中，绿色施工安全防护措施费</w:t>
            </w:r>
            <w:r>
              <w:rPr>
                <w:rFonts w:hint="eastAsia" w:ascii="仿宋" w:hAnsi="仿宋" w:eastAsia="仿宋" w:cs="仿宋"/>
                <w:kern w:val="0"/>
                <w:sz w:val="24"/>
                <w:u w:val="single"/>
                <w:lang w:val="en-US" w:eastAsia="zh-CN" w:bidi="ar"/>
              </w:rPr>
              <w:t xml:space="preserve"> 14363.75</w:t>
            </w:r>
            <w:r>
              <w:rPr>
                <w:rFonts w:hint="eastAsia" w:ascii="仿宋" w:hAnsi="仿宋" w:eastAsia="仿宋" w:cs="仿宋"/>
                <w:kern w:val="0"/>
                <w:sz w:val="24"/>
                <w:lang w:val="en-US" w:eastAsia="zh-CN" w:bidi="ar"/>
              </w:rPr>
              <w:t>元。</w:t>
            </w:r>
          </w:p>
        </w:tc>
      </w:tr>
      <w:tr>
        <w:tblPrEx>
          <w:tblCellMar>
            <w:top w:w="0" w:type="dxa"/>
            <w:left w:w="108" w:type="dxa"/>
            <w:bottom w:w="0" w:type="dxa"/>
            <w:right w:w="108" w:type="dxa"/>
          </w:tblCellMar>
        </w:tblPrEx>
        <w:trPr>
          <w:trHeight w:val="1091" w:hRule="atLeast"/>
          <w:jc w:val="center"/>
        </w:trPr>
        <w:tc>
          <w:tcPr>
            <w:tcW w:w="100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2.项目承包方式</w:t>
            </w:r>
          </w:p>
        </w:tc>
        <w:tc>
          <w:tcPr>
            <w:tcW w:w="39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numPr>
                <w:ilvl w:val="0"/>
                <w:numId w:val="0"/>
              </w:numPr>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2.1</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根据采购人提供的项目工程量清单、施工图纸（如清单或图纸不准确，以现场实际情况并根据采购人要求为准）、使用材料说明及资料、工程性质、工程特点，由成交人固定项目总价包干、图纸包干、措施费包干、材料包干，包括且不限于包（向相关部门如国土部门或城管部门）报批或报备、包人工、包材料、包机械、包质量、包工期、包安全、包通过采购人和相关政府部门的验收。</w:t>
            </w:r>
          </w:p>
          <w:p>
            <w:pPr>
              <w:widowControl/>
              <w:numPr>
                <w:ilvl w:val="0"/>
                <w:numId w:val="0"/>
              </w:numPr>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2.2</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报价供应商须按照报价邀请函的要求前往现场勘察了解项目的建设条件情况，以利于提高完成本项目的质量。任何因忽视或误解工地情况而导致的索赔或工期延长申请将不被批准。</w:t>
            </w:r>
          </w:p>
          <w:p>
            <w:pPr>
              <w:widowControl/>
              <w:numPr>
                <w:ilvl w:val="0"/>
                <w:numId w:val="0"/>
              </w:numPr>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2.3</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质保期：按照《建设工程质量管理条例》规定。</w:t>
            </w:r>
          </w:p>
          <w:p>
            <w:pPr>
              <w:widowControl/>
              <w:numPr>
                <w:ilvl w:val="0"/>
                <w:numId w:val="0"/>
              </w:numPr>
              <w:jc w:val="left"/>
              <w:textAlignment w:val="center"/>
              <w:rPr>
                <w:rFonts w:ascii="仿宋" w:hAnsi="仿宋" w:eastAsia="仿宋" w:cs="仿宋"/>
                <w:kern w:val="0"/>
                <w:sz w:val="24"/>
                <w:lang w:bidi="ar"/>
              </w:rPr>
            </w:pPr>
            <w:r>
              <w:rPr>
                <w:rFonts w:hint="eastAsia" w:ascii="仿宋" w:hAnsi="仿宋" w:eastAsia="仿宋" w:cs="仿宋"/>
                <w:kern w:val="0"/>
                <w:sz w:val="24"/>
                <w:lang w:bidi="ar"/>
              </w:rPr>
              <w:t>2.4</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质量标准：本工程项目所有的设备和材料所涉及的设计标准、规范，产品标准、规范工程标准、规范，验收标准、规范等必须完全符合中华人民共和国相应的标准和规范。</w:t>
            </w:r>
          </w:p>
        </w:tc>
      </w:tr>
      <w:tr>
        <w:tblPrEx>
          <w:tblCellMar>
            <w:top w:w="0" w:type="dxa"/>
            <w:left w:w="108" w:type="dxa"/>
            <w:bottom w:w="0" w:type="dxa"/>
            <w:right w:w="108" w:type="dxa"/>
          </w:tblCellMar>
        </w:tblPrEx>
        <w:trPr>
          <w:trHeight w:val="1730" w:hRule="atLeast"/>
          <w:jc w:val="center"/>
        </w:trPr>
        <w:tc>
          <w:tcPr>
            <w:tcW w:w="10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szCs w:val="24"/>
                <w:lang w:bidi="ar"/>
              </w:rPr>
              <w:t>3.项目相关服务内容</w:t>
            </w:r>
          </w:p>
        </w:tc>
        <w:tc>
          <w:tcPr>
            <w:tcW w:w="39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3.1</w:t>
            </w:r>
            <w:r>
              <w:rPr>
                <w:rFonts w:hint="eastAsia" w:ascii="仿宋" w:hAnsi="仿宋" w:eastAsia="仿宋" w:cs="仿宋"/>
                <w:b/>
                <w:bCs/>
                <w:kern w:val="0"/>
                <w:sz w:val="24"/>
                <w:lang w:bidi="ar"/>
              </w:rPr>
              <w:tab/>
            </w:r>
            <w:r>
              <w:rPr>
                <w:rFonts w:hint="eastAsia" w:ascii="仿宋" w:hAnsi="仿宋" w:eastAsia="仿宋" w:cs="仿宋"/>
                <w:b/>
                <w:bCs/>
                <w:kern w:val="0"/>
                <w:sz w:val="24"/>
                <w:lang w:bidi="ar"/>
              </w:rPr>
              <w:t>建设范围：详见《用户需求书》《工程量清单》及图纸。</w:t>
            </w:r>
          </w:p>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3.2</w:t>
            </w:r>
            <w:r>
              <w:rPr>
                <w:rFonts w:hint="eastAsia" w:ascii="仿宋" w:hAnsi="仿宋" w:eastAsia="仿宋" w:cs="仿宋"/>
                <w:b/>
                <w:bCs/>
                <w:kern w:val="0"/>
                <w:sz w:val="24"/>
                <w:lang w:bidi="ar"/>
              </w:rPr>
              <w:tab/>
            </w:r>
            <w:r>
              <w:rPr>
                <w:rFonts w:hint="eastAsia" w:ascii="仿宋" w:hAnsi="仿宋" w:eastAsia="仿宋" w:cs="仿宋"/>
                <w:b/>
                <w:bCs/>
                <w:kern w:val="0"/>
                <w:sz w:val="24"/>
                <w:lang w:bidi="ar"/>
              </w:rPr>
              <w:t>总体要求</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3.2.1★报价供应商必须做出书面承诺：(1)响应文件的项目负责人、技术负责人须与现场负责施工的项目负责人、技术负责人一致，否则，需支付采购人违约金（按每天1%的成交价计算）。(2)不得在合同期内私下将本项目转包，一经发现，采购人有权追究其相关法律责任。(3)须提交进场施工人员名单及身份证复印件给采购人备案，且承诺须在采购人所属有关部门办理出入证。(4)施工人员须严格遵守采购人一切规章制度，自觉接受检查，无证人员一律不得进入施工现场，施工人员不得在施工现场留宿。施工人员未经批准不得进入其他区域。(5)须遵守采购人、施工现场和人员管理的规定，安全生产，文明施工。(6)须注意施工安全，做好安全文明施工工作，如因措施不当造成人身安全或工伤死亡事故，一切责任由报价供应商负责。</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3.2.2★报价供应商在施工过程前需向有关部门（如国土部门或城管部门等）进行报批或报备，在施工过程中，如遇到需与外部相关的单位协调的问题时，应自行解决，采购人只负责必要的协助。</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3.2.3★报价供应商施工前，需完成相关报备手续，如未完成遭遇外部的单位或相关行政部门进行干预或制止等，应自行解决并承担相应的责任。</w:t>
            </w:r>
          </w:p>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3.3</w:t>
            </w:r>
            <w:r>
              <w:rPr>
                <w:rFonts w:hint="eastAsia" w:ascii="仿宋" w:hAnsi="仿宋" w:eastAsia="仿宋" w:cs="仿宋"/>
                <w:b/>
                <w:bCs/>
                <w:kern w:val="0"/>
                <w:sz w:val="24"/>
                <w:lang w:bidi="ar"/>
              </w:rPr>
              <w:tab/>
            </w:r>
            <w:r>
              <w:rPr>
                <w:rFonts w:hint="eastAsia" w:ascii="仿宋" w:hAnsi="仿宋" w:eastAsia="仿宋" w:cs="仿宋"/>
                <w:b/>
                <w:bCs/>
                <w:kern w:val="0"/>
                <w:sz w:val="24"/>
                <w:lang w:bidi="ar"/>
              </w:rPr>
              <w:t>质量和安全文明施工标准</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3.3.1</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工程质量标准：一次验收合格施工期间若工程质量不合格，成交人须按采购人要求停工和返工，返工费用由成交人负责，工期不予顺延。成交人完成工程施工任务后要马上申请采购人所属有关部门进行初步验收。</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3.3.2</w:t>
            </w:r>
            <w:r>
              <w:rPr>
                <w:rFonts w:hint="eastAsia" w:ascii="仿宋" w:hAnsi="仿宋" w:eastAsia="仿宋" w:cs="仿宋"/>
                <w:kern w:val="0"/>
                <w:sz w:val="24"/>
                <w:lang w:bidi="ar"/>
              </w:rPr>
              <w:tab/>
            </w:r>
            <w:r>
              <w:rPr>
                <w:rFonts w:hint="eastAsia" w:ascii="仿宋" w:hAnsi="仿宋" w:eastAsia="仿宋" w:cs="仿宋"/>
                <w:kern w:val="0"/>
                <w:sz w:val="24"/>
                <w:lang w:bidi="ar"/>
              </w:rPr>
              <w:t>安全文明施工标准：杜绝一般事故等级及以上的伤亡事故且工伤责任事故死亡人数为零。</w:t>
            </w:r>
          </w:p>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3.4</w:t>
            </w:r>
            <w:r>
              <w:rPr>
                <w:rFonts w:hint="eastAsia" w:ascii="仿宋" w:hAnsi="仿宋" w:eastAsia="仿宋" w:cs="仿宋"/>
                <w:b/>
                <w:bCs/>
                <w:kern w:val="0"/>
                <w:sz w:val="24"/>
                <w:lang w:bidi="ar"/>
              </w:rPr>
              <w:tab/>
            </w:r>
            <w:r>
              <w:rPr>
                <w:rFonts w:hint="eastAsia" w:ascii="仿宋" w:hAnsi="仿宋" w:eastAsia="仿宋" w:cs="仿宋"/>
                <w:b/>
                <w:bCs/>
                <w:kern w:val="0"/>
                <w:sz w:val="24"/>
                <w:lang w:bidi="ar"/>
              </w:rPr>
              <w:t>资料收集与归档</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3.4.1</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本项目竣工验收后15天内提供相关工程及结算资料统一送采购人审核，确认后办理后续手续。</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3.4.2</w:t>
            </w:r>
            <w:r>
              <w:rPr>
                <w:rFonts w:hint="eastAsia" w:ascii="仿宋" w:hAnsi="仿宋" w:eastAsia="仿宋" w:cs="仿宋"/>
                <w:kern w:val="0"/>
                <w:sz w:val="24"/>
                <w:lang w:bidi="ar"/>
              </w:rPr>
              <w:tab/>
            </w:r>
            <w:r>
              <w:rPr>
                <w:rFonts w:hint="eastAsia" w:ascii="仿宋" w:hAnsi="仿宋" w:eastAsia="仿宋" w:cs="仿宋"/>
                <w:kern w:val="0"/>
                <w:sz w:val="24"/>
                <w:lang w:bidi="ar"/>
              </w:rPr>
              <w:t>成交人向采购人提交竣工验收报告时，应当向采购人出具质量保修资料；质量保修书应明确采购人工程的保修范围、保修期限和保修责任等。</w:t>
            </w:r>
          </w:p>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3.5</w:t>
            </w:r>
            <w:r>
              <w:rPr>
                <w:rFonts w:hint="eastAsia" w:ascii="仿宋" w:hAnsi="仿宋" w:eastAsia="仿宋" w:cs="仿宋"/>
                <w:b/>
                <w:bCs/>
                <w:kern w:val="0"/>
                <w:sz w:val="24"/>
                <w:lang w:bidi="ar"/>
              </w:rPr>
              <w:tab/>
            </w:r>
            <w:r>
              <w:rPr>
                <w:rFonts w:hint="eastAsia" w:ascii="仿宋" w:hAnsi="仿宋" w:eastAsia="仿宋" w:cs="仿宋"/>
                <w:b/>
                <w:bCs/>
                <w:kern w:val="0"/>
                <w:sz w:val="24"/>
                <w:lang w:bidi="ar"/>
              </w:rPr>
              <w:t>施工要求与施工管理</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3.5.1</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在签订合同后，采购人根据实际需要，每次向成交人发出工程内容的通知，成交人在收到通知后，应立即进行确认。</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3.5.2</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报价供应商必须做出书面承诺：由于实际地形与地形图纸资料存在差异，成交人须在施工前对交付场地进行测量，复核按设计要求施工所涉及土方挖填量、定位位置、标高等等必须报采购人和监理工程师确认后方可施工、实施，成交人无条件对施工图进行深化和补充，采购人在整个建设过程中，可对上述及不限于提及范围进行调整、变更，成交人必须无条件服从,所有费用均控制在投标总价内。</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3.5.3</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报价供应商必须提交施工组织方案，内容包括人员组织和材料机具准备；主要工序及施工方案；保证工期及文明施工管理措施；质量保证措施；安全保证措施；廉洁承诺书等方面的内容。</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3.5.4</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报价供应商必须做出书面承诺：须严格按照已经确认的施工方案组织施工，并接受采购人、总承包方或其委托的监理单位对工程质量、工期、安全、文明施工、环保及工地纪律的监督和管理。</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3.5.5</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成交人在工程施工期间，须严格遵守政府职能部门的各项规章制度，由于管理不善，导致政府职能部门的罚款和停工整改，由此所产生的罚款费用与与损失由成交人自行承担，且采购人保留暂缓支付工程款的权利，以确保文明施工有效实行。</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3.5.6</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报价供应商必须做出书面承诺：在工程施工期间须配备项目驻场项目经理、专职安全员，建立健全安全制度。</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3.5.7</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报价供应商必须做出书面承诺：在施工期间，承诺须建立施工安全用电制度，确保施工用电设备的完好无损，并设置漏电保护装置。</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3.5.8</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本工程项目的材料、设备、施工须达到现行中华人民共和国以及广东省行业的工程建设标准、规范的要求，并接受采购人、委托的监理单位对材料质量现场抽检。</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3.5.9</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报价供应商必须做出书面承诺：报价供应商在响应文件中须承诺自行解决工人宿舍用地、食堂与生活设施等场地问题。</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3.5.10</w:t>
            </w:r>
            <w:r>
              <w:rPr>
                <w:rFonts w:hint="eastAsia" w:ascii="仿宋" w:hAnsi="仿宋" w:eastAsia="仿宋" w:cs="仿宋"/>
                <w:kern w:val="0"/>
                <w:sz w:val="24"/>
                <w:lang w:bidi="ar"/>
              </w:rPr>
              <w:tab/>
            </w:r>
            <w:r>
              <w:rPr>
                <w:rFonts w:hint="eastAsia" w:ascii="仿宋" w:hAnsi="仿宋" w:eastAsia="仿宋" w:cs="仿宋"/>
                <w:kern w:val="0"/>
                <w:sz w:val="24"/>
                <w:lang w:bidi="ar"/>
              </w:rPr>
              <w:t>施工用水、用电如需学校支持配合的，由采购人指定现场驳接点，由成交人自行布线管、加表计量，并向采购人交付水、电费（水、电费一般在结算审核中由采购人和成交人共同确认后向第三方审核单位提供相关资料并审核后扣除）。</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3.5.11</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报价供应商必须做出书面承诺：报价供应商承诺建筑垃圾须及时清运干净，施工过程中应采取必要的有效措施减少对采购人单位进出人员的生活、工作造成的影响，并确保各方人员的安全，施工区域内由于成交人的造成的一切人员的伤亡，均由报价供应商承担由此产生的一切赔偿等后果。</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3.5.12</w:t>
            </w:r>
            <w:r>
              <w:rPr>
                <w:rFonts w:hint="eastAsia" w:ascii="仿宋" w:hAnsi="仿宋" w:eastAsia="仿宋" w:cs="仿宋"/>
                <w:kern w:val="0"/>
                <w:sz w:val="24"/>
                <w:lang w:bidi="ar"/>
              </w:rPr>
              <w:tab/>
            </w:r>
            <w:r>
              <w:rPr>
                <w:rFonts w:hint="eastAsia" w:ascii="仿宋" w:hAnsi="仿宋" w:eastAsia="仿宋" w:cs="仿宋"/>
                <w:kern w:val="0"/>
                <w:sz w:val="24"/>
                <w:lang w:bidi="ar"/>
              </w:rPr>
              <w:t>报价供应商必须做出书面承诺：承诺施工队伍须接受现场管理单位的监督、管理和指导，无条件遵守采购人的各项规定。</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3.5.13</w:t>
            </w:r>
            <w:r>
              <w:rPr>
                <w:rFonts w:hint="eastAsia" w:ascii="仿宋" w:hAnsi="仿宋" w:eastAsia="仿宋" w:cs="仿宋"/>
                <w:kern w:val="0"/>
                <w:sz w:val="24"/>
                <w:lang w:bidi="ar"/>
              </w:rPr>
              <w:tab/>
            </w:r>
            <w:r>
              <w:rPr>
                <w:rFonts w:hint="eastAsia" w:ascii="仿宋" w:hAnsi="仿宋" w:eastAsia="仿宋" w:cs="仿宋"/>
                <w:kern w:val="0"/>
                <w:sz w:val="24"/>
                <w:lang w:bidi="ar"/>
              </w:rPr>
              <w:t>施工所用的机械工具由施工队伍自备及自费运到施工工地，进场后进行必要的性能安全检查，完工后从工地自费搬出运走，施工所用的材料及机械工具由采购人提供适当的场所存放并由施工队伍自行保管，不得随便存放，以免造成不必要的丢失、损坏。</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3.5.14</w:t>
            </w:r>
            <w:r>
              <w:rPr>
                <w:rFonts w:hint="eastAsia" w:ascii="仿宋" w:hAnsi="仿宋" w:eastAsia="仿宋" w:cs="仿宋"/>
                <w:kern w:val="0"/>
                <w:sz w:val="24"/>
                <w:lang w:bidi="ar"/>
              </w:rPr>
              <w:tab/>
            </w:r>
            <w:r>
              <w:rPr>
                <w:rFonts w:hint="eastAsia" w:ascii="仿宋" w:hAnsi="仿宋" w:eastAsia="仿宋" w:cs="仿宋"/>
                <w:kern w:val="0"/>
                <w:sz w:val="24"/>
                <w:lang w:bidi="ar"/>
              </w:rPr>
              <w:t>成交人应按《建设工程项目管理规范》（GB/T50326-2006）实施管理，并按受采购人和监理单位的监督。项目负责人及管理人员和持证上岗等人员须到位且持证上岗。成交人应按广东省建设厅《广东省建设工程项目招标后监督检查办法》（建管字[2001]10号）第十条规定，发生项目负责人需要更换情况的，成交人应向建设行政主管部门填报《建设工程项目管理班子变更情况报告表》，并附上有关证明文件，经审核同意方可变更。更换后的项目负责人应与成交人的响应文件所拟定的注册建造师的主要条件一致。</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3.5.15</w:t>
            </w:r>
            <w:r>
              <w:rPr>
                <w:rFonts w:hint="eastAsia" w:ascii="仿宋" w:hAnsi="仿宋" w:eastAsia="仿宋" w:cs="仿宋"/>
                <w:kern w:val="0"/>
                <w:sz w:val="24"/>
                <w:lang w:bidi="ar"/>
              </w:rPr>
              <w:tab/>
            </w:r>
            <w:r>
              <w:rPr>
                <w:rFonts w:hint="eastAsia" w:ascii="仿宋" w:hAnsi="仿宋" w:eastAsia="仿宋" w:cs="仿宋"/>
                <w:kern w:val="0"/>
                <w:sz w:val="24"/>
                <w:lang w:bidi="ar"/>
              </w:rPr>
              <w:t>成交人在施工期间应严格遵守国家、省、市有关防火、防爆和施工安全以及文明施工，深夜施工、环卫、治安与城管等规定，应建立规章制度和防护、防范措施，并承担由于自身措施不力造成事故责任和发生的全部费用。</w:t>
            </w:r>
          </w:p>
          <w:p>
            <w:pPr>
              <w:widowControl/>
              <w:jc w:val="left"/>
              <w:textAlignment w:val="center"/>
              <w:rPr>
                <w:rFonts w:ascii="仿宋" w:hAnsi="仿宋" w:eastAsia="仿宋" w:cs="仿宋"/>
                <w:kern w:val="0"/>
                <w:sz w:val="24"/>
                <w:lang w:bidi="ar"/>
              </w:rPr>
            </w:pPr>
            <w:r>
              <w:rPr>
                <w:rFonts w:hint="eastAsia" w:ascii="仿宋" w:hAnsi="仿宋" w:eastAsia="仿宋" w:cs="仿宋"/>
                <w:kern w:val="0"/>
                <w:sz w:val="24"/>
                <w:lang w:bidi="ar"/>
              </w:rPr>
              <w:t>3.5.16</w:t>
            </w:r>
            <w:r>
              <w:rPr>
                <w:rFonts w:hint="eastAsia" w:ascii="仿宋" w:hAnsi="仿宋" w:eastAsia="仿宋" w:cs="仿宋"/>
                <w:kern w:val="0"/>
                <w:sz w:val="24"/>
                <w:lang w:bidi="ar"/>
              </w:rPr>
              <w:tab/>
            </w:r>
            <w:r>
              <w:rPr>
                <w:rFonts w:hint="eastAsia" w:ascii="仿宋" w:hAnsi="仿宋" w:eastAsia="仿宋" w:cs="仿宋"/>
                <w:kern w:val="0"/>
                <w:sz w:val="24"/>
                <w:lang w:bidi="ar"/>
              </w:rPr>
              <w:t>成交人所提供的资料须属实，如发现虚假资料，采购人有权单方面终止合同，工程项目将另行处理，由此而造成的经济损失由成交人负责赔偿。</w:t>
            </w:r>
          </w:p>
        </w:tc>
      </w:tr>
      <w:tr>
        <w:tblPrEx>
          <w:tblCellMar>
            <w:top w:w="0" w:type="dxa"/>
            <w:left w:w="108" w:type="dxa"/>
            <w:bottom w:w="0" w:type="dxa"/>
            <w:right w:w="108" w:type="dxa"/>
          </w:tblCellMar>
        </w:tblPrEx>
        <w:trPr>
          <w:trHeight w:val="767" w:hRule="atLeast"/>
          <w:jc w:val="center"/>
        </w:trPr>
        <w:tc>
          <w:tcPr>
            <w:tcW w:w="10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4.技术要求</w:t>
            </w:r>
          </w:p>
        </w:tc>
        <w:tc>
          <w:tcPr>
            <w:tcW w:w="39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4.1</w:t>
            </w:r>
            <w:r>
              <w:rPr>
                <w:rFonts w:hint="eastAsia" w:ascii="仿宋" w:hAnsi="仿宋" w:eastAsia="仿宋" w:cs="仿宋"/>
                <w:b/>
                <w:bCs/>
                <w:kern w:val="0"/>
                <w:sz w:val="24"/>
                <w:lang w:bidi="ar"/>
              </w:rPr>
              <w:tab/>
            </w:r>
            <w:r>
              <w:rPr>
                <w:rFonts w:hint="eastAsia" w:ascii="仿宋" w:hAnsi="仿宋" w:eastAsia="仿宋" w:cs="仿宋"/>
                <w:b/>
                <w:bCs/>
                <w:kern w:val="0"/>
                <w:sz w:val="24"/>
                <w:lang w:bidi="ar"/>
              </w:rPr>
              <w:t>一般要求</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4.1.1</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工程报价应包括招标文件规定，完成本项目工程内容的全部费用，包括分部分项工程费用、措施项目费、其他项目费和规费、税金。</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4.1.2</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人工、材料、设备价格按广州市建设工程造价管理站公布的同期《广州地区建设工程材料指导价》计入，同期《广州地区建设工程材料指导价》没有的价格按照广州市现行市场材料、设备价格计入。</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4.1.3</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报价供应商的报价，应是按照工期要求，在响应文件所列的建设地点，完成包括招标文件、工程量清单、图纸范围内所有内容的全部费用，包括但不限于完成工作的成本、利润、税金、技术措施费、大型机械进出场费、风险费以及政策性文件规定费用等，不得以任何理由予以重复计算。</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4.1.4</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凡工程量清单成交有数量的每个项目均须填入单价和合价，每一项目只允许有一个报价。任何有选择的报价将不予接受。报价供应商未填报单价或合价的工程项目，视为完成该项目所需要费用已包含在其它有价款的竞争性报价内，在实施后，采购人将不予支付。</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4.1.5</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措施项目费由报价供应商根据工程的实际情况和施工组织设计的要求，发生于该工程施工前和施工过程中技术、生活、安全等方面的费用，并按综合单价计价。</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4.1.6</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安全生产措施费管理执行《广州市建筑工程安全生产措施费管理办法》，计入报价总价。</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4.1.7</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工程项目特征未明确的均应符合本项目现场要求、用户需求书及《响应文件》的技术规格书的技术要求，项目的工程内容除另有注明外均按完成该项目的所有工作内容，包括原有项目的拆除、材料及设备的采购、运输、保管、进场检验、安装、调试、维护保修等相关服务。</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4.1.8</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材料的场内运输、装卸、吊装费用，应在报价中综合考虑，其他材料的二次搬运费用列入措施清单项目。</w:t>
            </w:r>
          </w:p>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4.2</w:t>
            </w:r>
            <w:r>
              <w:rPr>
                <w:rFonts w:hint="eastAsia" w:ascii="仿宋" w:hAnsi="仿宋" w:eastAsia="仿宋" w:cs="仿宋"/>
                <w:b/>
                <w:bCs/>
                <w:kern w:val="0"/>
                <w:sz w:val="24"/>
                <w:lang w:bidi="ar"/>
              </w:rPr>
              <w:tab/>
            </w:r>
            <w:r>
              <w:rPr>
                <w:rFonts w:hint="eastAsia" w:ascii="仿宋" w:hAnsi="仿宋" w:eastAsia="仿宋" w:cs="仿宋"/>
                <w:b/>
                <w:bCs/>
                <w:kern w:val="0"/>
                <w:sz w:val="24"/>
                <w:lang w:bidi="ar"/>
              </w:rPr>
              <w:t>材料及设备供应要求</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4.2.1</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本工程所承包范围内所需的材料、成品、未成品的采购、运输、保管、质量等责任均由成交人承担，采购人不提供任何材料。</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4.2.2</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采购供应的材料，其名称、品种、型号、规格、质量等，均应符合国家、地方及行业有关规范及要求，并能满足采购人的要求。</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4.2.3</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所有材料都有材料质检部门出具的合格证明，经采购人同意方可使用，并保证产品的有效性。</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4.2.4</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由于成交人提供的伪劣、假冒等所有不合格材料而导致的损失、事故及一切后果，均由成交人负责并赔偿采购人所有损失，并负责免费更换所有已施工的不合格材料。</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4.2.5</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若报价供应商使用的标准在本报价技术要求的规定外，报价供应商应明确说明用于替代的标准或使用规范并提供所使用的标准，该标准是国际公认的同等或更高级的标准，如报价供应商所使用的标准低于上述标准，采购人将有权不予接受。</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4.2.6</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报价时提供主要材料的明细（包括厂家、规格、品质等级等）。若报价供应商在报价时未提供相关信息，则有可能严重影响其质量和服务打分。工程实施时，如发生货不对板，采购人有权拒用，造成损失由成交人承担。</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4.2.7</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采购人保留对本工程使用之主要材料品质确认审查的权利及保留另行委托专业队伍对本工程进行独立检测的权利。</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4.2.8</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报价范围之内工程所用之设备，由成交人提供。</w:t>
            </w:r>
          </w:p>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4.3</w:t>
            </w:r>
            <w:r>
              <w:rPr>
                <w:rFonts w:hint="eastAsia" w:ascii="仿宋" w:hAnsi="仿宋" w:eastAsia="仿宋" w:cs="仿宋"/>
                <w:b/>
                <w:bCs/>
                <w:kern w:val="0"/>
                <w:sz w:val="24"/>
                <w:lang w:bidi="ar"/>
              </w:rPr>
              <w:tab/>
            </w:r>
            <w:r>
              <w:rPr>
                <w:rFonts w:hint="eastAsia" w:ascii="仿宋" w:hAnsi="仿宋" w:eastAsia="仿宋" w:cs="仿宋"/>
                <w:b/>
                <w:bCs/>
                <w:kern w:val="0"/>
                <w:sz w:val="24"/>
                <w:lang w:bidi="ar"/>
              </w:rPr>
              <w:t>其他说明</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4.3.1</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报价供应商成交后，不许转包，不许擅自分包。不许随意更换响应文件中所报的项目负责人，如确须更换，则事前须征得采购人同意，如有违反，一经发现取消成交资格，并赔偿由此造成的一切损失(包含质量安全事故、拖延工期、增加投资等损失)。在施工过程中，造成损失的，按实际发生额赔偿。</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4.3.2</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在工程进行中，成交人要注意保护现场内的各种管线和设施。若有任何损坏，须立即通知有关部门，并由损坏责任单位承担损失和修复费用。</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4.3.3</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成交人在整个施工期间都应遵守采购人的规章制度。</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4.3.4</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采购人协助成交人办理施工报建等有关手续，采购人提供有关资料。</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4.3.5</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成交人应承担所有与编写和提交响应文件有关的费用，不论报价的结果如何，采购人、采购代理机构在任何情况下均无义务和责任承担这些费用。</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4.3.6</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本招标文件中所涉及的法律、法规、部门规章及标准、规范等内容的版本号若与国家现行版本号不一致，以国家及地方相关的版本号为准。</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4.3.7</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本项目因牵涉学校教学质量工程问题，成交人必须承诺：获得成交通知书后，必须7个工作日内签订合同，在合同签订后按承诺的工期要求内竣工并通过验收，对未能按期完工并通过验收的，成交人需支付采购人违约金（按每天5%的成交价计算），供应商若不能如期完成承建本项目，今后不能再参加广东生态工程职业学院建设项目报价。没有按期完成广东生态工程职业学院以往建设项目的供应商及其相关项目负责人不得参加本次采购。</w:t>
            </w:r>
          </w:p>
          <w:p>
            <w:pPr>
              <w:widowControl/>
              <w:jc w:val="left"/>
              <w:textAlignment w:val="center"/>
              <w:rPr>
                <w:rFonts w:ascii="仿宋" w:hAnsi="仿宋" w:eastAsia="仿宋" w:cs="仿宋"/>
                <w:kern w:val="0"/>
                <w:sz w:val="24"/>
                <w:lang w:bidi="ar"/>
              </w:rPr>
            </w:pPr>
            <w:r>
              <w:rPr>
                <w:rFonts w:hint="eastAsia" w:ascii="仿宋" w:hAnsi="仿宋" w:eastAsia="仿宋" w:cs="仿宋"/>
                <w:kern w:val="0"/>
                <w:sz w:val="24"/>
                <w:lang w:bidi="ar"/>
              </w:rPr>
              <w:t>4.4 最终报价总金额是固定价且是唯一的，且未超过本项目采购预算。响应供应商不得以低于成本的报价竞标。如果发现响应供应商的报价明显低于其他报价，使得其报价可能低于其个别成本的，将要求该响应供应商作书面说明并提供相关证明材料。响应供应商不能合理说明或不能提供相关证明材料的，评标小组将认定该其以低于成本报价竞标，其报价作无效标处理。</w:t>
            </w:r>
          </w:p>
        </w:tc>
      </w:tr>
      <w:tr>
        <w:tblPrEx>
          <w:tblCellMar>
            <w:top w:w="0" w:type="dxa"/>
            <w:left w:w="108" w:type="dxa"/>
            <w:bottom w:w="0" w:type="dxa"/>
            <w:right w:w="108" w:type="dxa"/>
          </w:tblCellMar>
        </w:tblPrEx>
        <w:trPr>
          <w:trHeight w:val="767" w:hRule="atLeast"/>
          <w:jc w:val="center"/>
        </w:trPr>
        <w:tc>
          <w:tcPr>
            <w:tcW w:w="10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5.工程进度款支付及结算</w:t>
            </w:r>
          </w:p>
        </w:tc>
        <w:tc>
          <w:tcPr>
            <w:tcW w:w="39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5.1履约保证金</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项目签订合同前，成交人在</w:t>
            </w:r>
            <w:r>
              <w:rPr>
                <w:rFonts w:hint="eastAsia" w:ascii="仿宋" w:hAnsi="仿宋" w:eastAsia="仿宋" w:cs="仿宋"/>
                <w:b/>
                <w:bCs/>
                <w:kern w:val="0"/>
                <w:sz w:val="24"/>
                <w:lang w:bidi="ar"/>
              </w:rPr>
              <w:t>7个工作日内</w:t>
            </w:r>
            <w:r>
              <w:rPr>
                <w:rFonts w:hint="eastAsia" w:ascii="仿宋" w:hAnsi="仿宋" w:eastAsia="仿宋" w:cs="仿宋"/>
                <w:kern w:val="0"/>
                <w:sz w:val="24"/>
                <w:lang w:bidi="ar"/>
              </w:rPr>
              <w:t>以转帐的形式或缴纳现金的形式向采购人支付</w:t>
            </w:r>
            <w:r>
              <w:rPr>
                <w:rFonts w:hint="eastAsia" w:ascii="仿宋" w:hAnsi="仿宋" w:eastAsia="仿宋" w:cs="仿宋"/>
                <w:b/>
                <w:bCs/>
                <w:kern w:val="0"/>
                <w:sz w:val="24"/>
                <w:lang w:bidi="ar"/>
              </w:rPr>
              <w:t>中标价3%的款项作为履约保证金</w:t>
            </w:r>
            <w:r>
              <w:rPr>
                <w:rFonts w:hint="eastAsia" w:ascii="仿宋" w:hAnsi="仿宋" w:eastAsia="仿宋" w:cs="仿宋"/>
                <w:kern w:val="0"/>
                <w:sz w:val="24"/>
                <w:lang w:bidi="ar"/>
              </w:rPr>
              <w:t>。履约保证金以支票、汇票、本票、保函等形式提交。</w:t>
            </w:r>
          </w:p>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5.2工程款支付</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5.2.1</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合同签订后，成交人提出请款申请并提交合法发票（增值税专用发票）后5个工作日内采购人支付合同总价的30%作为预付款。</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5.2.2</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在项目竣工验收合格后15日内，中标人提出请款申请并提交合法的发票，支付至合同价的80%，工程办理结算审核后15日内，中标人提出请款申请并提交合法的发票，支付至结算价的100%，履约保证金转为质保金，质保金在缺陷责任期满后无质量问题无息退还。</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5.2.3</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本工程缺陷责任期为1年，质保金在竣工验收合格一年后若无重大质量问题10个工作日内无息退回给成交人。</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5.2.4</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因采购人使用的是财政资金，采购人所指支付款项是指向财政部门提出支付申请。采购人在付款约定时间内向财政部门提交支付申请的，即视为采购人已经按期支付。</w:t>
            </w:r>
          </w:p>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5.3工程结算</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5.3.1</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招标文件所附工程内容的报价实行投标报价固定总价包干、图纸包干、措施项目费包干，材料包干。</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5.3.2</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投标报价中应包括工程量清单项目所发生的人工费、材料费、机械费、管理费、利润、项目措施费、规费、税金、配合费以及施工合同包含的所有风险、责任等各项应有费用，投标人漏报或不报，招标人将视为有关费用已包括在工程量清单项目的其它单价及合价中而不予支付。成交金额以响应文件总价为准，采购人不再作出调整,而且结算价以财审审核价或学校第三方审核价为准。</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5.3.3</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成交价除采购人要求的设计变更外，其余不因市场价格变化、人员工资福利调整、招标文件提供工程量与实际发生不符以及其它政策性文件的下达而调整。</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5.3.4</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投标人依据招标文件提供的工程量清单等资料并自行考虑风险因素计算投标报价，一旦中标，投标报价将不会因市场变化因素而得到调整。</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5.3.5</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投标人应按照招标文件提供的工程量清单逐项填写单价及合价，投标人没有填写单价及合价的项目，招标人将视为此项费用已包括在工程量清单项目的其它单价及合价中而不予支付。</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w:t>
            </w:r>
            <w:r>
              <w:rPr>
                <w:rFonts w:hint="eastAsia" w:ascii="仿宋" w:hAnsi="仿宋" w:eastAsia="仿宋" w:cs="仿宋"/>
                <w:kern w:val="0"/>
                <w:sz w:val="24"/>
                <w:lang w:val="en-US" w:eastAsia="zh-CN" w:bidi="ar"/>
              </w:rPr>
              <w:t xml:space="preserve">.4 </w:t>
            </w:r>
            <w:r>
              <w:rPr>
                <w:rFonts w:hint="eastAsia" w:ascii="仿宋" w:hAnsi="仿宋" w:eastAsia="仿宋" w:cs="仿宋"/>
                <w:kern w:val="0"/>
                <w:sz w:val="24"/>
                <w:lang w:bidi="ar"/>
              </w:rPr>
              <w:t>因采购人使用的是财政资金，采购人在请款规定的付款时间为向支付部门提出办理财政支付申请手续的时间（不含财政支付部门审核的时间），在规定时间内提出支付申请手续后即视为采购人已经按期支付。</w:t>
            </w:r>
          </w:p>
        </w:tc>
      </w:tr>
      <w:tr>
        <w:tblPrEx>
          <w:tblCellMar>
            <w:top w:w="0" w:type="dxa"/>
            <w:left w:w="108" w:type="dxa"/>
            <w:bottom w:w="0" w:type="dxa"/>
            <w:right w:w="108" w:type="dxa"/>
          </w:tblCellMar>
        </w:tblPrEx>
        <w:trPr>
          <w:trHeight w:val="767" w:hRule="atLeast"/>
          <w:jc w:val="center"/>
        </w:trPr>
        <w:tc>
          <w:tcPr>
            <w:tcW w:w="10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6.工程量清单</w:t>
            </w:r>
          </w:p>
        </w:tc>
        <w:tc>
          <w:tcPr>
            <w:tcW w:w="39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6.1编制说明</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6.1.1</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工程量清单编制依据：工程量清单项目设置及计算规则执行《建设工程工程量清单计价规定》（GB50500-2013）；依据2018年《广东省建设工程计价依据》(包括《广东省建设工程计价通则》、《广东省建筑与装饰工程综合定额》、《广东省安装工程综合定额》、《广东省市政工程综合定额》和《广东省园林绿化工程综合定额》等)；材料编制价可参照《广州地区建设工程材料指导价》同时期造价资料及信息，以最新标准为准。</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6.1.2</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工程量清单/图纸应连同合同条款、技术规范及质量验收规范、本说明的所有条款以及其他有关计价规范同时阅读、同时理解或解释。报价供应商应全面仔细阅读和理解招标文件中有关承包范围、技术标准、施工要求、质量目标、工期要求、合同义务和费用等条款，并充分考察施工现场情况和条件（包括地下情况、交通条件、水电条件、场地条件等），充分考虑各种不利影响所带来的风险，结合自身企业的条件报价。</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6.1.3</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本项目的工程量清单由工程总价，分部分项工程费（含分部分项工程量清单及其综合单价）、措施项目费（含措施项目清单及其费用）、其他项目费（含其他项目清单及其综合单价或费用）、主要材料价格及规费组成。</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6.1.4</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工程报价应包括招标文件规定，完成本项目工程量清单及图纸所列的全部费用，包括分部分项工程费用、措施项目费、其他项目费和社会事业性收费、税金。</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6.1.5</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工程量清单应采用清单计价。</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6.1.6</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凡工程量清单成交有数量的每个项目均须填入综合单价和合价，报价供应商不得自行修改工程量清单的项目及数量。</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6.1.7</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措施项目费由报价供应商根据工程的实际情况和施工组织设计的要求，发生于该工程施工前和施工过程中技术、生活、安全等方面的费用计算。</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6.1.8</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安全生产措施费作为非竞争性费用在报价中单列，并计入报价总价。</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6.1.9</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工程项目特征未明确的均应符合项目现场要求和《招标文件》的技术规格书的技术要求，项目的工程内容除另有注明外均按完成该项目的所有工作内容，包括材料及设备的采购、运输、保管、进场检验、安装、调试、维护保修等相关服务。</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6.1.10</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材料的场内运输、装卸、吊装费用，应在报价中综合考虑，其他材料的二次搬运费用列入措施清单项目。</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6.1.11</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各报价单位的报价按照招标文件的要求由报价一览表、报价汇总表、工程量清单报价表、措施项目费报价表、其它项目报价表、规费和税金表、主要设备和材料清单报价表等组成。</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6.1.12</w:t>
            </w:r>
            <w:r>
              <w:rPr>
                <w:rFonts w:hint="eastAsia" w:ascii="仿宋" w:hAnsi="仿宋" w:eastAsia="仿宋" w:cs="仿宋"/>
                <w:kern w:val="0"/>
                <w:sz w:val="24"/>
                <w:lang w:val="en-US" w:eastAsia="zh-CN" w:bidi="ar"/>
              </w:rPr>
              <w:t xml:space="preserve"> </w:t>
            </w:r>
            <w:r>
              <w:rPr>
                <w:rFonts w:hint="eastAsia" w:ascii="仿宋" w:hAnsi="仿宋" w:eastAsia="仿宋" w:cs="仿宋"/>
                <w:kern w:val="0"/>
                <w:sz w:val="24"/>
                <w:lang w:bidi="ar"/>
              </w:rPr>
              <w:t>对采购人在采购工程量统计时出现的漏项、错项、错算工程量等非变更原因引起的差异视为已包含在本总报价中，成交金额以报价总价为准，采购人不再作出调整。</w:t>
            </w:r>
          </w:p>
          <w:p>
            <w:pPr>
              <w:widowControl/>
              <w:jc w:val="left"/>
              <w:textAlignment w:val="center"/>
              <w:rPr>
                <w:rFonts w:hint="eastAsia" w:ascii="仿宋" w:hAnsi="仿宋" w:eastAsia="仿宋" w:cs="仿宋"/>
                <w:kern w:val="0"/>
                <w:sz w:val="24"/>
                <w:lang w:bidi="ar"/>
              </w:rPr>
            </w:pPr>
            <w:r>
              <w:rPr>
                <w:rFonts w:hint="eastAsia" w:ascii="仿宋" w:hAnsi="仿宋" w:eastAsia="仿宋" w:cs="仿宋"/>
                <w:b/>
                <w:bCs/>
                <w:kern w:val="0"/>
                <w:sz w:val="24"/>
                <w:lang w:bidi="ar"/>
              </w:rPr>
              <w:t>6.2工程量清单（详见电子文件）</w:t>
            </w:r>
          </w:p>
        </w:tc>
      </w:tr>
    </w:tbl>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pPr>
        <w:keepNext w:val="0"/>
        <w:keepLines w:val="0"/>
        <w:pageBreakBefore w:val="0"/>
        <w:widowControl w:val="0"/>
        <w:numPr>
          <w:numId w:val="0"/>
        </w:numPr>
        <w:kinsoku/>
        <w:wordWrap/>
        <w:overflowPunct/>
        <w:topLinePunct w:val="0"/>
        <w:bidi w:val="0"/>
        <w:snapToGrid/>
        <w:spacing w:line="360" w:lineRule="auto"/>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 xml:space="preserve">    </w:t>
      </w:r>
      <w:r>
        <w:rPr>
          <w:rFonts w:hint="eastAsia" w:ascii="宋体" w:hAnsi="宋体" w:cs="宋体"/>
          <w:b w:val="0"/>
          <w:bCs w:val="0"/>
          <w:sz w:val="28"/>
          <w:szCs w:val="28"/>
          <w:lang w:val="en-US" w:eastAsia="zh-CN"/>
        </w:rPr>
        <w:t>1.履约保证金</w:t>
      </w:r>
    </w:p>
    <w:p>
      <w:pPr>
        <w:keepNext w:val="0"/>
        <w:keepLines w:val="0"/>
        <w:pageBreakBefore w:val="0"/>
        <w:widowControl w:val="0"/>
        <w:numPr>
          <w:numId w:val="0"/>
        </w:numPr>
        <w:kinsoku/>
        <w:wordWrap/>
        <w:overflowPunct/>
        <w:topLinePunct w:val="0"/>
        <w:bidi w:val="0"/>
        <w:snapToGrid/>
        <w:spacing w:line="360" w:lineRule="auto"/>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项目签订合同前，成交人在7个工作日内以转帐的形式或缴纳现金的形式向采购人支付中标价3%的款项作为履约保证金。履约保证金以支票、汇票、本票、保函等形式提交。</w:t>
      </w:r>
    </w:p>
    <w:p>
      <w:pPr>
        <w:keepNext w:val="0"/>
        <w:keepLines w:val="0"/>
        <w:pageBreakBefore w:val="0"/>
        <w:widowControl w:val="0"/>
        <w:numPr>
          <w:numId w:val="0"/>
        </w:numPr>
        <w:kinsoku/>
        <w:wordWrap/>
        <w:overflowPunct/>
        <w:topLinePunct w:val="0"/>
        <w:bidi w:val="0"/>
        <w:snapToGrid/>
        <w:spacing w:line="360" w:lineRule="auto"/>
        <w:ind w:firstLine="560" w:firstLineChars="200"/>
        <w:textAlignment w:val="auto"/>
        <w:rPr>
          <w:rFonts w:hint="default" w:ascii="宋体" w:hAnsi="宋体" w:cs="宋体"/>
          <w:b w:val="0"/>
          <w:bCs w:val="0"/>
          <w:sz w:val="28"/>
          <w:szCs w:val="28"/>
          <w:lang w:val="en-US" w:eastAsia="zh-CN"/>
        </w:rPr>
      </w:pPr>
      <w:r>
        <w:rPr>
          <w:rFonts w:hint="default" w:ascii="宋体" w:hAnsi="宋体" w:cs="宋体"/>
          <w:b w:val="0"/>
          <w:bCs w:val="0"/>
          <w:sz w:val="28"/>
          <w:szCs w:val="28"/>
          <w:lang w:val="en-US" w:eastAsia="zh-CN"/>
        </w:rPr>
        <w:t>2</w:t>
      </w:r>
      <w:r>
        <w:rPr>
          <w:rFonts w:hint="eastAsia" w:ascii="宋体" w:hAnsi="宋体" w:cs="宋体"/>
          <w:b w:val="0"/>
          <w:bCs w:val="0"/>
          <w:sz w:val="28"/>
          <w:szCs w:val="28"/>
          <w:lang w:val="en-US" w:eastAsia="zh-CN"/>
        </w:rPr>
        <w:t>.</w:t>
      </w:r>
      <w:r>
        <w:rPr>
          <w:rFonts w:hint="default" w:ascii="宋体" w:hAnsi="宋体" w:cs="宋体"/>
          <w:b w:val="0"/>
          <w:bCs w:val="0"/>
          <w:sz w:val="28"/>
          <w:szCs w:val="28"/>
          <w:lang w:val="en-US" w:eastAsia="zh-CN"/>
        </w:rPr>
        <w:t>工程款支付</w:t>
      </w:r>
    </w:p>
    <w:p>
      <w:pPr>
        <w:numPr>
          <w:ilvl w:val="-1"/>
          <w:numId w:val="0"/>
        </w:numPr>
        <w:spacing w:line="360" w:lineRule="auto"/>
        <w:ind w:left="0" w:leftChars="0"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合同签订后，成交人提出请款申请并提交合法发票（增值税专用发票）后5个工作日内采购人支付合同总价的30%作为预付款。</w:t>
      </w:r>
    </w:p>
    <w:p>
      <w:pPr>
        <w:numPr>
          <w:ilvl w:val="-1"/>
          <w:numId w:val="0"/>
        </w:numPr>
        <w:spacing w:line="360" w:lineRule="auto"/>
        <w:ind w:left="0" w:leftChars="0"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在项目竣工验收合格后15日内，中标人提出请款申请并提交合法的发票，支付至合同价的80%，工程办理结算审核后15日内，中标人提出请款申请并提交合法的发票，支付至结算价的100%，履约保证金转为质保金，质保金在缺陷责任期满后无质量问题无息退还。</w:t>
      </w:r>
    </w:p>
    <w:p>
      <w:pPr>
        <w:numPr>
          <w:ilvl w:val="-1"/>
          <w:numId w:val="0"/>
        </w:numPr>
        <w:spacing w:line="360" w:lineRule="auto"/>
        <w:ind w:left="0" w:leftChars="0" w:firstLine="560" w:firstLineChars="200"/>
        <w:jc w:val="left"/>
        <w:rPr>
          <w:rFonts w:hint="eastAsia" w:ascii="宋体" w:hAnsi="宋体" w:cs="宋体"/>
          <w:b/>
          <w:bCs/>
          <w:sz w:val="28"/>
          <w:szCs w:val="28"/>
          <w:lang w:val="en-US" w:eastAsia="zh-CN"/>
        </w:rPr>
      </w:pPr>
      <w:r>
        <w:rPr>
          <w:rFonts w:hint="eastAsia" w:ascii="宋体" w:hAnsi="宋体" w:cs="宋体"/>
          <w:b w:val="0"/>
          <w:bCs w:val="0"/>
          <w:sz w:val="28"/>
          <w:szCs w:val="28"/>
          <w:lang w:val="en-US" w:eastAsia="zh-CN"/>
        </w:rPr>
        <w:t>质保金在竣工验收合格一年后若无重大质量问题10个工作日内无息退回给成交人。</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pPr>
        <w:keepNext w:val="0"/>
        <w:keepLines w:val="0"/>
        <w:pageBreakBefore w:val="0"/>
        <w:widowControl w:val="0"/>
        <w:numPr>
          <w:ilvl w:val="0"/>
          <w:numId w:val="1"/>
        </w:numPr>
        <w:kinsoku/>
        <w:wordWrap/>
        <w:overflowPunct/>
        <w:topLinePunct w:val="0"/>
        <w:bidi w:val="0"/>
        <w:snapToGrid/>
        <w:spacing w:line="360" w:lineRule="auto"/>
        <w:ind w:left="0" w:leftChars="0" w:firstLine="643" w:firstLineChars="200"/>
        <w:textAlignment w:val="auto"/>
        <w:rPr>
          <w:rFonts w:hint="eastAsia" w:ascii="宋体" w:hAnsi="宋体" w:cs="宋体"/>
          <w:b/>
          <w:bCs/>
          <w:sz w:val="28"/>
          <w:szCs w:val="28"/>
          <w:lang w:val="en-US" w:eastAsia="zh-CN"/>
        </w:rPr>
      </w:pPr>
      <w:r>
        <w:rPr>
          <w:rFonts w:hint="eastAsia" w:ascii="仿宋" w:hAnsi="仿宋" w:eastAsia="仿宋" w:cs="仿宋"/>
          <w:b/>
          <w:bCs w:val="0"/>
          <w:sz w:val="32"/>
          <w:szCs w:val="32"/>
        </w:rPr>
        <w:t>供应商</w:t>
      </w:r>
      <w:r>
        <w:rPr>
          <w:rFonts w:hint="eastAsia" w:ascii="仿宋" w:hAnsi="仿宋" w:eastAsia="仿宋" w:cs="仿宋"/>
          <w:b/>
          <w:bCs w:val="0"/>
          <w:sz w:val="32"/>
          <w:szCs w:val="32"/>
          <w:lang w:val="en-US" w:eastAsia="zh-CN"/>
        </w:rPr>
        <w:t>提交的资料（提交的资料均须加盖公章）</w:t>
      </w:r>
    </w:p>
    <w:p>
      <w:pPr>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pPr>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w:t>
      </w:r>
      <w:r>
        <w:rPr>
          <w:rFonts w:hint="eastAsia" w:ascii="宋体" w:hAnsi="宋体" w:cs="宋体"/>
          <w:b w:val="0"/>
          <w:bCs/>
          <w:sz w:val="28"/>
          <w:szCs w:val="28"/>
        </w:rPr>
        <w:t>承诺书</w:t>
      </w:r>
      <w:r>
        <w:rPr>
          <w:rFonts w:hint="eastAsia" w:ascii="宋体" w:hAnsi="宋体" w:cs="宋体"/>
          <w:b w:val="0"/>
          <w:bCs w:val="0"/>
          <w:sz w:val="28"/>
          <w:szCs w:val="28"/>
          <w:lang w:val="en-US" w:eastAsia="zh-CN"/>
        </w:rPr>
        <w:t>》（附件2）。</w:t>
      </w:r>
    </w:p>
    <w:p>
      <w:pPr>
        <w:pStyle w:val="3"/>
        <w:pageBreakBefore w:val="0"/>
        <w:widowControl w:val="0"/>
        <w:numPr>
          <w:ilvl w:val="0"/>
          <w:numId w:val="4"/>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按要求提交加盖报价供应商公章的《招标工程量清单》。</w:t>
      </w:r>
    </w:p>
    <w:p>
      <w:pPr>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bookmarkStart w:id="0" w:name="_GoBack"/>
      <w:bookmarkEnd w:id="0"/>
    </w:p>
    <w:p>
      <w:pPr>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按要求提交广东政府采购智慧云平台电子卖场-集采馆-定点集市-修缮工程供应商截图、且服务区域包括广州市，以截图纸质加盖公章为准。</w:t>
      </w:r>
    </w:p>
    <w:p>
      <w:pPr>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pPr>
        <w:spacing w:line="360" w:lineRule="auto"/>
        <w:ind w:firstLine="480" w:firstLineChars="200"/>
        <w:rPr>
          <w:rFonts w:hint="eastAsia" w:ascii="宋体" w:hAnsi="宋体" w:cs="宋体"/>
          <w:sz w:val="24"/>
          <w:szCs w:val="24"/>
        </w:rPr>
      </w:pPr>
    </w:p>
    <w:p>
      <w:pPr>
        <w:tabs>
          <w:tab w:val="left" w:pos="8100"/>
        </w:tabs>
        <w:adjustRightInd w:val="0"/>
        <w:snapToGrid w:val="0"/>
        <w:spacing w:line="348" w:lineRule="auto"/>
        <w:rPr>
          <w:rFonts w:hint="eastAsia" w:ascii="宋体" w:hAnsi="宋体" w:cs="宋体"/>
          <w:b/>
          <w:sz w:val="24"/>
          <w:szCs w:val="24"/>
        </w:rPr>
      </w:pPr>
    </w:p>
    <w:p>
      <w:pPr>
        <w:tabs>
          <w:tab w:val="left" w:pos="8100"/>
        </w:tabs>
        <w:adjustRightInd w:val="0"/>
        <w:snapToGrid w:val="0"/>
        <w:spacing w:line="348" w:lineRule="auto"/>
        <w:rPr>
          <w:rFonts w:hint="eastAsia" w:ascii="宋体" w:hAnsi="宋体" w:cs="宋体"/>
          <w:b/>
          <w:sz w:val="24"/>
          <w:szCs w:val="24"/>
        </w:rPr>
      </w:pPr>
    </w:p>
    <w:p>
      <w:pPr>
        <w:tabs>
          <w:tab w:val="left" w:pos="8100"/>
        </w:tabs>
        <w:adjustRightInd w:val="0"/>
        <w:snapToGrid w:val="0"/>
        <w:spacing w:line="348" w:lineRule="auto"/>
        <w:rPr>
          <w:rFonts w:hint="eastAsia" w:ascii="宋体" w:hAnsi="宋体" w:cs="宋体"/>
          <w:b/>
          <w:sz w:val="24"/>
          <w:szCs w:val="24"/>
        </w:rPr>
      </w:pPr>
    </w:p>
    <w:p>
      <w:pPr>
        <w:rPr>
          <w:rFonts w:hint="eastAsia" w:ascii="宋体" w:hAnsi="宋体" w:cs="宋体"/>
          <w:b/>
          <w:sz w:val="24"/>
          <w:szCs w:val="24"/>
        </w:rPr>
      </w:pPr>
      <w:r>
        <w:rPr>
          <w:rFonts w:hint="eastAsia" w:ascii="宋体" w:hAnsi="宋体" w:cs="宋体"/>
          <w:b/>
          <w:sz w:val="24"/>
          <w:szCs w:val="24"/>
        </w:rPr>
        <w:br w:type="page"/>
      </w:r>
    </w:p>
    <w:p>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pPr>
        <w:tabs>
          <w:tab w:val="left" w:pos="8100"/>
        </w:tabs>
        <w:adjustRightInd w:val="0"/>
        <w:snapToGrid w:val="0"/>
        <w:spacing w:line="348" w:lineRule="auto"/>
        <w:rPr>
          <w:rFonts w:hint="eastAsia" w:ascii="宋体" w:hAnsi="宋体" w:cs="宋体"/>
          <w:b/>
          <w:sz w:val="24"/>
          <w:szCs w:val="24"/>
          <w:lang w:val="en-US" w:eastAsia="zh-CN"/>
        </w:rPr>
      </w:pPr>
    </w:p>
    <w:p>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广东生态工程职业学院运动场东侧围墙修复项目</w:t>
            </w:r>
          </w:p>
        </w:tc>
      </w:tr>
      <w:tr>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p>
        </w:tc>
      </w:tr>
    </w:tbl>
    <w:p>
      <w:pPr>
        <w:pStyle w:val="8"/>
        <w:spacing w:line="480" w:lineRule="exact"/>
        <w:ind w:firstLine="100" w:firstLineChars="50"/>
        <w:rPr>
          <w:rFonts w:hAnsi="宋体"/>
        </w:rPr>
      </w:pPr>
      <w:r>
        <w:rPr>
          <w:rFonts w:hint="eastAsia" w:hAnsi="宋体"/>
        </w:rPr>
        <w:t>注：</w:t>
      </w:r>
    </w:p>
    <w:p>
      <w:pPr>
        <w:pStyle w:val="8"/>
        <w:numPr>
          <w:ilvl w:val="0"/>
          <w:numId w:val="5"/>
        </w:numPr>
        <w:spacing w:line="0" w:lineRule="atLeast"/>
        <w:rPr>
          <w:rFonts w:hAnsi="宋体"/>
        </w:rPr>
      </w:pPr>
      <w:r>
        <w:rPr>
          <w:rFonts w:hint="eastAsia" w:hAnsi="宋体"/>
        </w:rPr>
        <w:t>本表报价包含完成本项目应预见和不可预见的一切含税费用。</w:t>
      </w:r>
    </w:p>
    <w:p>
      <w:pPr>
        <w:pStyle w:val="8"/>
        <w:numPr>
          <w:ilvl w:val="0"/>
          <w:numId w:val="5"/>
        </w:numPr>
        <w:spacing w:line="0" w:lineRule="atLeast"/>
        <w:rPr>
          <w:rFonts w:hAnsi="宋体"/>
        </w:rPr>
      </w:pPr>
      <w:r>
        <w:rPr>
          <w:rFonts w:hint="eastAsia"/>
        </w:rPr>
        <w:t>填写此表时不得改变表格的形式。</w:t>
      </w:r>
    </w:p>
    <w:p>
      <w:pPr>
        <w:pStyle w:val="8"/>
        <w:numPr>
          <w:ilvl w:val="0"/>
          <w:numId w:val="5"/>
        </w:numPr>
        <w:spacing w:line="0" w:lineRule="atLeast"/>
        <w:rPr>
          <w:rFonts w:hAnsi="宋体"/>
        </w:rPr>
      </w:pPr>
      <w:r>
        <w:rPr>
          <w:rFonts w:hint="eastAsia"/>
        </w:rPr>
        <w:t>以上表中内容必须计算机录入、填写、打印。手写按无效报价处理。</w:t>
      </w:r>
    </w:p>
    <w:p>
      <w:pPr>
        <w:pStyle w:val="8"/>
        <w:numPr>
          <w:ilvl w:val="0"/>
          <w:numId w:val="5"/>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eastAsia="zh-CN"/>
        </w:rPr>
        <w:t>、</w:t>
      </w:r>
      <w:r>
        <w:rPr>
          <w:rFonts w:hint="eastAsia" w:ascii="宋体" w:hAnsi="Courier New" w:eastAsiaTheme="minorEastAsia" w:cstheme="minorBidi"/>
          <w:b w:val="0"/>
          <w:bCs w:val="0"/>
          <w:sz w:val="20"/>
          <w:szCs w:val="24"/>
        </w:rPr>
        <w:t>质保期</w:t>
      </w:r>
      <w:r>
        <w:rPr>
          <w:rFonts w:hint="eastAsia" w:ascii="宋体" w:hAnsi="Courier New" w:eastAsiaTheme="minorEastAsia" w:cstheme="minorBidi"/>
          <w:b w:val="0"/>
          <w:bCs w:val="0"/>
          <w:sz w:val="20"/>
          <w:szCs w:val="24"/>
          <w:lang w:val="en-US" w:eastAsia="zh-CN"/>
        </w:rPr>
        <w:t>等服务要求。</w:t>
      </w:r>
    </w:p>
    <w:p>
      <w:pPr>
        <w:pStyle w:val="8"/>
        <w:spacing w:line="0" w:lineRule="atLeast"/>
        <w:ind w:left="336"/>
        <w:rPr>
          <w:rFonts w:hAnsi="宋体"/>
          <w:color w:val="FF0000"/>
        </w:rPr>
      </w:pPr>
    </w:p>
    <w:p/>
    <w:p/>
    <w:p>
      <w:pPr>
        <w:spacing w:line="480" w:lineRule="exact"/>
        <w:ind w:left="4599" w:leftChars="2190" w:firstLine="240" w:firstLineChars="100"/>
        <w:rPr>
          <w:rFonts w:ascii="宋体" w:hAnsi="宋体" w:cs="宋体"/>
          <w:sz w:val="24"/>
          <w:szCs w:val="24"/>
        </w:rPr>
      </w:pPr>
    </w:p>
    <w:p>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pPr>
        <w:spacing w:line="480" w:lineRule="exact"/>
        <w:ind w:firstLine="4560" w:firstLineChars="1900"/>
        <w:rPr>
          <w:rFonts w:ascii="宋体" w:hAnsi="宋体" w:cs="宋体"/>
          <w:sz w:val="24"/>
          <w:szCs w:val="24"/>
        </w:rPr>
      </w:pPr>
      <w:r>
        <w:rPr>
          <w:rFonts w:hint="eastAsia" w:ascii="宋体" w:hAnsi="宋体" w:cs="宋体"/>
          <w:sz w:val="24"/>
          <w:szCs w:val="24"/>
        </w:rPr>
        <w:t>日    期：</w:t>
      </w:r>
    </w:p>
    <w:p>
      <w:pPr>
        <w:rPr>
          <w:rFonts w:ascii="宋体" w:hAnsi="宋体" w:cs="宋体"/>
          <w:sz w:val="24"/>
          <w:szCs w:val="24"/>
        </w:rPr>
      </w:pPr>
    </w:p>
    <w:p>
      <w:pPr>
        <w:rPr>
          <w:rFonts w:ascii="宋体" w:hAnsi="宋体" w:cs="宋体"/>
          <w:sz w:val="24"/>
          <w:szCs w:val="24"/>
        </w:rPr>
      </w:pPr>
    </w:p>
    <w:p>
      <w:pPr>
        <w:pStyle w:val="9"/>
      </w:pPr>
    </w:p>
    <w:p>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pPr>
        <w:rPr>
          <w:rFonts w:hint="eastAsia" w:ascii="宋体" w:hAnsi="宋体" w:cs="宋体"/>
          <w:b/>
          <w:sz w:val="24"/>
          <w:szCs w:val="24"/>
        </w:rPr>
      </w:pPr>
      <w:r>
        <w:rPr>
          <w:rFonts w:hint="eastAsia" w:ascii="宋体" w:hAnsi="宋体" w:cs="宋体"/>
          <w:b/>
          <w:sz w:val="24"/>
          <w:szCs w:val="24"/>
        </w:rPr>
        <w:br w:type="page"/>
      </w:r>
    </w:p>
    <w:p>
      <w:pPr>
        <w:tabs>
          <w:tab w:val="left" w:pos="8100"/>
        </w:tabs>
        <w:adjustRightInd w:val="0"/>
        <w:snapToGrid w:val="0"/>
        <w:spacing w:line="348" w:lineRule="auto"/>
        <w:rPr>
          <w:rFonts w:hint="eastAsia" w:ascii="宋体" w:hAnsi="宋体" w:cs="宋体" w:eastAsiaTheme="minorEastAsia"/>
          <w:b/>
          <w:sz w:val="24"/>
          <w:szCs w:val="24"/>
          <w:lang w:eastAsia="zh-CN"/>
        </w:rPr>
      </w:pPr>
      <w:r>
        <w:rPr>
          <w:rFonts w:hint="eastAsia" w:ascii="宋体" w:hAnsi="宋体" w:cs="宋体"/>
          <w:b/>
          <w:sz w:val="24"/>
        </w:rPr>
        <w:t>附件</w:t>
      </w:r>
      <w:r>
        <w:rPr>
          <w:rFonts w:hint="eastAsia" w:ascii="宋体" w:hAnsi="宋体" w:cs="宋体"/>
          <w:b/>
          <w:sz w:val="24"/>
          <w:lang w:val="en-US" w:eastAsia="zh-CN"/>
        </w:rPr>
        <w:t>2</w:t>
      </w:r>
    </w:p>
    <w:p>
      <w:pPr>
        <w:pStyle w:val="3"/>
        <w:spacing w:before="0" w:after="0" w:line="400" w:lineRule="exact"/>
        <w:rPr>
          <w:rFonts w:ascii="宋体" w:hAnsi="宋体" w:cs="宋体"/>
          <w:szCs w:val="28"/>
        </w:rPr>
      </w:pPr>
    </w:p>
    <w:p>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pPr>
        <w:pStyle w:val="15"/>
        <w:widowControl w:val="0"/>
        <w:spacing w:line="480" w:lineRule="auto"/>
        <w:ind w:firstLine="0" w:firstLineChars="0"/>
        <w:jc w:val="left"/>
        <w:textAlignment w:val="auto"/>
        <w:rPr>
          <w:rFonts w:ascii="仿宋" w:hAnsi="仿宋" w:eastAsia="仿宋" w:cs="仿宋"/>
          <w:sz w:val="24"/>
          <w:szCs w:val="24"/>
        </w:rPr>
      </w:pPr>
    </w:p>
    <w:p>
      <w:pPr>
        <w:pStyle w:val="15"/>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不提供有违真实的材料，不在投标中哄拍价格或悲意压价；不违反相关法律法规，注册建造师不同时在两个及两个以上的建设项目上担任施工项目负责人；遵守国家和本市安全、质量有关法律法规和规范性文件中关于质量员、安全员的数量和人选的相关规定；保证建筑材料符合相关标准和设计要求，不使用未经检测或者检测质量不合格的建筑材料；</w:t>
      </w:r>
      <w:r>
        <w:rPr>
          <w:rFonts w:hint="eastAsia" w:ascii="宋体" w:hAnsi="宋体" w:cs="宋体"/>
          <w:sz w:val="24"/>
          <w:szCs w:val="24"/>
        </w:rPr>
        <w:t>且非联合体投标。如若我方不符合上述声明，则贵校有权随时无条件解除双方之间合同，一切责任均由我方承担。</w:t>
      </w:r>
    </w:p>
    <w:p>
      <w:pPr>
        <w:pStyle w:val="15"/>
        <w:ind w:firstLine="480"/>
        <w:jc w:val="left"/>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3Y2VhZmY1ZjNkZjdhZmFhNzgwNGEwOGI5Mjc3MjcifQ=="/>
  </w:docVars>
  <w:rsids>
    <w:rsidRoot w:val="00000000"/>
    <w:rsid w:val="03353615"/>
    <w:rsid w:val="05D34F20"/>
    <w:rsid w:val="06B807E5"/>
    <w:rsid w:val="06D73361"/>
    <w:rsid w:val="072E0AA7"/>
    <w:rsid w:val="078E5DFF"/>
    <w:rsid w:val="08DB0410"/>
    <w:rsid w:val="0A062E0C"/>
    <w:rsid w:val="0A6A0048"/>
    <w:rsid w:val="0BDD0CD5"/>
    <w:rsid w:val="0C7C0B92"/>
    <w:rsid w:val="0F001001"/>
    <w:rsid w:val="0FA14F53"/>
    <w:rsid w:val="0FAC7731"/>
    <w:rsid w:val="10D601E5"/>
    <w:rsid w:val="120B2110"/>
    <w:rsid w:val="1269161B"/>
    <w:rsid w:val="131C20FB"/>
    <w:rsid w:val="14325D10"/>
    <w:rsid w:val="15ED073F"/>
    <w:rsid w:val="17A81ECF"/>
    <w:rsid w:val="17D47448"/>
    <w:rsid w:val="19F26CAA"/>
    <w:rsid w:val="1A444EEE"/>
    <w:rsid w:val="1D440623"/>
    <w:rsid w:val="1E311151"/>
    <w:rsid w:val="1F507DBE"/>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840E45"/>
    <w:rsid w:val="3E893E94"/>
    <w:rsid w:val="3F516B05"/>
    <w:rsid w:val="3F9D2CB9"/>
    <w:rsid w:val="4221507E"/>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32E2B36"/>
    <w:rsid w:val="63EA3E83"/>
    <w:rsid w:val="64C235B4"/>
    <w:rsid w:val="670B7726"/>
    <w:rsid w:val="671B3414"/>
    <w:rsid w:val="69175343"/>
    <w:rsid w:val="6A532BBE"/>
    <w:rsid w:val="6AA5542C"/>
    <w:rsid w:val="6C72589E"/>
    <w:rsid w:val="6DA240C6"/>
    <w:rsid w:val="6EB92BCC"/>
    <w:rsid w:val="6FEA3571"/>
    <w:rsid w:val="72D1172F"/>
    <w:rsid w:val="7320696C"/>
    <w:rsid w:val="74844CAB"/>
    <w:rsid w:val="754937FF"/>
    <w:rsid w:val="76E77774"/>
    <w:rsid w:val="774EE9EE"/>
    <w:rsid w:val="781E4519"/>
    <w:rsid w:val="78D43D28"/>
    <w:rsid w:val="7A031D6B"/>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2528</Words>
  <Characters>2588</Characters>
  <Lines>0</Lines>
  <Paragraphs>0</Paragraphs>
  <TotalTime>1</TotalTime>
  <ScaleCrop>false</ScaleCrop>
  <LinksUpToDate>false</LinksUpToDate>
  <CharactersWithSpaces>2890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南巷风</cp:lastModifiedBy>
  <dcterms:modified xsi:type="dcterms:W3CDTF">2024-05-17T02:42:13Z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FF7F5D803C7D4D84896B3FDACF3B9DCD_13</vt:lpwstr>
  </property>
</Properties>
</file>