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广东生态工程职业学院科创中心206室电脑升级和硬盘采购项目</w:t>
      </w:r>
      <w:r>
        <w:rPr>
          <w:rFonts w:hint="eastAsia" w:asciiTheme="majorEastAsia" w:hAnsiTheme="majorEastAsia" w:eastAsiaTheme="majorEastAsia" w:cstheme="majorEastAsia"/>
          <w:b/>
          <w:sz w:val="36"/>
          <w:szCs w:val="36"/>
          <w:lang w:val="en-US" w:eastAsia="zh-CN"/>
        </w:rPr>
        <w:t>需求书</w:t>
      </w:r>
    </w:p>
    <w:p>
      <w:pPr>
        <w:spacing w:line="360" w:lineRule="auto"/>
        <w:jc w:val="left"/>
        <w:rPr>
          <w:rFonts w:hint="eastAsia" w:ascii="宋体" w:hAnsi="宋体" w:eastAsia="宋体" w:cs="宋体"/>
          <w:b w:val="0"/>
          <w:bCs w:val="0"/>
          <w:sz w:val="28"/>
          <w:szCs w:val="28"/>
        </w:rPr>
      </w:pPr>
    </w:p>
    <w:p>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广东生态工程职业学院科创中心206室电脑升级和硬盘采购项目</w:t>
      </w:r>
    </w:p>
    <w:p>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39960.00元</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u w:val="single"/>
          <w:lang w:val="en-US" w:eastAsia="zh-CN"/>
        </w:rPr>
        <w:t xml:space="preserve">            </w:t>
      </w:r>
      <w:r>
        <w:rPr>
          <w:rFonts w:hint="eastAsia" w:ascii="宋体" w:hAnsi="宋体" w:cs="宋体"/>
          <w:b w:val="0"/>
          <w:bCs w:val="0"/>
          <w:sz w:val="28"/>
          <w:szCs w:val="28"/>
          <w:lang w:val="en-US" w:eastAsia="zh-CN"/>
        </w:rPr>
        <w:t>元（超过预算金额则视为无效报价）</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活动前三年内，在经营活动中没有重大违法记录；</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报价供应商提供的设备必须是厂商原装、全新的产品，提供原厂采购承诺函，如学校需供应商提供原厂授权函，供应商无法按时提交，则视为无效报价；报价时密封提交，否则也视为无效报价。</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5</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bookmarkStart w:id="0" w:name="_GoBack"/>
      <w:bookmarkEnd w:id="0"/>
    </w:p>
    <w:p>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投标地址：广州市天河区广汕一路297号广东生态工程职业学院办公楼203室，可通过快递寄送（必须用顺丰快递）或现场递交。</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default" w:ascii="宋体" w:hAnsi="宋体" w:cs="宋体"/>
          <w:b w:val="0"/>
          <w:bCs w:val="0"/>
          <w:sz w:val="28"/>
          <w:szCs w:val="28"/>
          <w:lang w:val="en-US" w:eastAsia="zh-CN"/>
        </w:rPr>
      </w:pPr>
      <w:r>
        <w:rPr>
          <w:rFonts w:hint="eastAsia" w:ascii="宋体" w:hAnsi="宋体" w:cs="宋体"/>
          <w:b w:val="0"/>
          <w:bCs w:val="0"/>
          <w:sz w:val="28"/>
          <w:szCs w:val="28"/>
          <w:lang w:val="en-US" w:eastAsia="zh-CN"/>
        </w:rPr>
        <w:t>项目内容</w:t>
      </w:r>
    </w:p>
    <w:tbl>
      <w:tblPr>
        <w:tblStyle w:val="11"/>
        <w:tblW w:w="879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8"/>
        <w:gridCol w:w="577"/>
        <w:gridCol w:w="945"/>
        <w:gridCol w:w="5705"/>
        <w:gridCol w:w="532"/>
        <w:gridCol w:w="6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40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5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名称</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品牌</w:t>
            </w:r>
          </w:p>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型号</w:t>
            </w:r>
          </w:p>
        </w:tc>
        <w:tc>
          <w:tcPr>
            <w:tcW w:w="57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c>
          <w:tcPr>
            <w:tcW w:w="5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6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40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57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固态硬盘内存条</w:t>
            </w:r>
          </w:p>
        </w:tc>
        <w:tc>
          <w:tcPr>
            <w:tcW w:w="9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金士顿</w:t>
            </w:r>
          </w:p>
        </w:tc>
        <w:tc>
          <w:tcPr>
            <w:tcW w:w="57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1.480GSSD固态硬盘:SATA3.0接口/读速高达500MB/秒/写入速度450MB/每秒/运行抗震强度可达2.17G(7-800HZ)/非运行抗震强度可达20G(10-2000HZ)/100.0MM*69.9MM*7.0MM(2.5英寸)</w:t>
            </w:r>
          </w:p>
          <w:p>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2.8G内存:DDR4台式3200MHZ频率,系统重新配置。</w:t>
            </w:r>
          </w:p>
          <w:p>
            <w:pPr>
              <w:keepNext w:val="0"/>
              <w:keepLines w:val="0"/>
              <w:widowControl/>
              <w:numPr>
                <w:ilvl w:val="0"/>
                <w:numId w:val="5"/>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配件安装到计算机，按教学要求重新配置系统以及教学软件；</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实现SSD硬盘和机械硬盘双硬盘保护模式和同传；</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实现虚拟磁盘管理，通过虚拟磁盘统一管理终端PC硬盘；</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实现电脑本地硬盘操作系统的立即还原和还原点瞬间创建；</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实现MBR分区系统和GPT分区系统混合安装,可实现64个以上的不同操作系统；</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学生机开机即可用，实现系统后台自动部署更新，实现系统增量更新；</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系统数据真实写入学生机硬盘，部署完成后即可断网实现本地独立运行；</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实现学生机部署多套系统以满足不同教学场景；</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实现远程登陆服务器进行学生机管理包括系统部署和更新、强制本地系统还原，远程控制，远程关机、网络唤醒等； </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实现跨网段部署连接学生机；</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实现学生机预设命令及修改学生机名称和IP地址；</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实现一键保存在线学生机当前状态；</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实现学生机加入域服务器；</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实现批量修改Windows用户登录名、计算机名和IP地址；</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实现教师端的屏幕广播，方便老师授课；</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实现学生演示，老师选定学生后，学生在本地电脑进行操作演示；</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实现教师端的屏幕录制，可将教师讲课操作过程录制保存到本地电脑，方便课后发送给学生复习；</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实现共享白板，分组教学、分组讨论，分发作业至学生机以及收集学生作业；</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可实现黑白名单管理，针对网页、应用程序、U盘等进行黑白名单管理，有效避免学生上课期间浏览与教学无关的网页，运行与教学无关的程序；</w:t>
            </w:r>
          </w:p>
          <w:p>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实现在教师端实现远程对全体学生机的统一开关机；</w:t>
            </w:r>
          </w:p>
          <w:p>
            <w:pPr>
              <w:keepNext w:val="0"/>
              <w:keepLines w:val="0"/>
              <w:widowControl/>
              <w:numPr>
                <w:ilvl w:val="0"/>
                <w:numId w:val="0"/>
              </w:numPr>
              <w:suppressLineNumbers w:val="0"/>
              <w:ind w:leftChars="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23、保修期限：3年。</w:t>
            </w:r>
          </w:p>
        </w:tc>
        <w:tc>
          <w:tcPr>
            <w:tcW w:w="5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w:t>
            </w:r>
          </w:p>
        </w:tc>
        <w:tc>
          <w:tcPr>
            <w:tcW w:w="6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r>
    </w:tbl>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送货时间：签订合同后5个工作日内交付使用。</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质保期：免费保修期叁年。</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pPr>
        <w:numPr>
          <w:ilvl w:val="-1"/>
          <w:numId w:val="0"/>
        </w:numPr>
        <w:spacing w:line="360" w:lineRule="auto"/>
        <w:ind w:left="0" w:leftChars="0" w:firstLine="560" w:firstLineChars="200"/>
        <w:jc w:val="left"/>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货物安装完毕，经采购人和中标供应商双方确认全部货物验收合格后，中标人提交付款申请并提供相应金额的正式发票后，采购人在20个工作日内一次性支付合同金额的100%。</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设备出现任何故障，中标供应商务必在24小时内上门检测并告知解决问题的方案，并在8小时内对出现故障应免费维修或更换，未按要求则一次扣除项目金额1%。</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报价文件内容</w:t>
      </w:r>
    </w:p>
    <w:p>
      <w:pPr>
        <w:pageBreakBefore w:val="0"/>
        <w:widowControl w:val="0"/>
        <w:numPr>
          <w:ilvl w:val="0"/>
          <w:numId w:val="7"/>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pPr>
        <w:pageBreakBefore w:val="0"/>
        <w:widowControl w:val="0"/>
        <w:numPr>
          <w:ilvl w:val="0"/>
          <w:numId w:val="7"/>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pPr>
        <w:pStyle w:val="3"/>
        <w:pageBreakBefore w:val="0"/>
        <w:widowControl w:val="0"/>
        <w:numPr>
          <w:ilvl w:val="0"/>
          <w:numId w:val="7"/>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w:t>
      </w:r>
      <w:r>
        <w:rPr>
          <w:rFonts w:hint="eastAsia" w:ascii="宋体" w:hAnsi="宋体" w:cs="宋体"/>
          <w:b w:val="0"/>
          <w:bCs/>
          <w:sz w:val="28"/>
          <w:szCs w:val="28"/>
        </w:rPr>
        <w:t>承诺书</w:t>
      </w:r>
      <w:r>
        <w:rPr>
          <w:rFonts w:hint="eastAsia" w:ascii="宋体" w:hAnsi="宋体" w:cs="宋体"/>
          <w:b w:val="0"/>
          <w:bCs w:val="0"/>
          <w:sz w:val="28"/>
          <w:szCs w:val="28"/>
          <w:lang w:val="en-US" w:eastAsia="zh-CN"/>
        </w:rPr>
        <w:t>》（附件3）。</w:t>
      </w:r>
    </w:p>
    <w:p>
      <w:pPr>
        <w:pageBreakBefore w:val="0"/>
        <w:widowControl w:val="0"/>
        <w:numPr>
          <w:ilvl w:val="0"/>
          <w:numId w:val="7"/>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pPr>
        <w:pageBreakBefore w:val="0"/>
        <w:widowControl w:val="0"/>
        <w:numPr>
          <w:ilvl w:val="0"/>
          <w:numId w:val="7"/>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pPr>
        <w:rPr>
          <w:rFonts w:hint="eastAsia" w:ascii="宋体" w:hAnsi="宋体" w:cs="宋体"/>
          <w:b/>
          <w:sz w:val="24"/>
          <w:szCs w:val="24"/>
        </w:rPr>
      </w:pPr>
      <w:r>
        <w:rPr>
          <w:rFonts w:hint="eastAsia" w:ascii="宋体" w:hAnsi="宋体" w:cs="宋体"/>
          <w:b/>
          <w:sz w:val="24"/>
          <w:szCs w:val="24"/>
        </w:rPr>
        <w:br w:type="page"/>
      </w:r>
    </w:p>
    <w:p>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pPr>
        <w:tabs>
          <w:tab w:val="left" w:pos="8100"/>
        </w:tabs>
        <w:adjustRightInd w:val="0"/>
        <w:snapToGrid w:val="0"/>
        <w:spacing w:line="348" w:lineRule="auto"/>
        <w:rPr>
          <w:rFonts w:hint="eastAsia" w:ascii="宋体" w:hAnsi="宋体" w:cs="宋体"/>
          <w:b/>
          <w:sz w:val="24"/>
          <w:szCs w:val="24"/>
          <w:lang w:val="en-US" w:eastAsia="zh-CN"/>
        </w:rPr>
      </w:pPr>
    </w:p>
    <w:p>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广东生态工程职业学院科创中心206室电脑升级和硬盘采购项目</w:t>
            </w:r>
          </w:p>
        </w:tc>
      </w:tr>
      <w:tr>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p>
        </w:tc>
      </w:tr>
    </w:tbl>
    <w:p>
      <w:pPr>
        <w:pStyle w:val="8"/>
        <w:spacing w:line="480" w:lineRule="exact"/>
        <w:ind w:firstLine="100" w:firstLineChars="50"/>
        <w:rPr>
          <w:rFonts w:hAnsi="宋体"/>
        </w:rPr>
      </w:pPr>
      <w:r>
        <w:rPr>
          <w:rFonts w:hint="eastAsia" w:hAnsi="宋体"/>
        </w:rPr>
        <w:t>注：</w:t>
      </w:r>
    </w:p>
    <w:p>
      <w:pPr>
        <w:pStyle w:val="8"/>
        <w:numPr>
          <w:ilvl w:val="0"/>
          <w:numId w:val="8"/>
        </w:numPr>
        <w:spacing w:line="0" w:lineRule="atLeast"/>
        <w:rPr>
          <w:rFonts w:hAnsi="宋体"/>
        </w:rPr>
      </w:pPr>
      <w:r>
        <w:rPr>
          <w:rFonts w:hint="eastAsia" w:hAnsi="宋体"/>
        </w:rPr>
        <w:t>本表报价包含完成本项目应预见和不可预见的一切含税费用。</w:t>
      </w:r>
    </w:p>
    <w:p>
      <w:pPr>
        <w:pStyle w:val="8"/>
        <w:numPr>
          <w:ilvl w:val="0"/>
          <w:numId w:val="8"/>
        </w:numPr>
        <w:spacing w:line="0" w:lineRule="atLeast"/>
        <w:rPr>
          <w:rFonts w:hAnsi="宋体"/>
        </w:rPr>
      </w:pPr>
      <w:r>
        <w:rPr>
          <w:rFonts w:hint="eastAsia"/>
        </w:rPr>
        <w:t>填写此表时不得改变表格的形式。</w:t>
      </w:r>
    </w:p>
    <w:p>
      <w:pPr>
        <w:pStyle w:val="8"/>
        <w:numPr>
          <w:ilvl w:val="0"/>
          <w:numId w:val="8"/>
        </w:numPr>
        <w:spacing w:line="0" w:lineRule="atLeast"/>
        <w:rPr>
          <w:rFonts w:hAnsi="宋体"/>
        </w:rPr>
      </w:pPr>
      <w:r>
        <w:rPr>
          <w:rFonts w:hint="eastAsia"/>
        </w:rPr>
        <w:t>以上表中内容必须计算机录入、填写、打印。手写按无效报价处理。</w:t>
      </w:r>
    </w:p>
    <w:p>
      <w:pPr>
        <w:pStyle w:val="8"/>
        <w:numPr>
          <w:ilvl w:val="0"/>
          <w:numId w:val="8"/>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eastAsia="zh-CN"/>
        </w:rPr>
        <w:t>、</w:t>
      </w:r>
      <w:r>
        <w:rPr>
          <w:rFonts w:hint="eastAsia" w:ascii="宋体" w:hAnsi="Courier New" w:eastAsiaTheme="minorEastAsia" w:cstheme="minorBidi"/>
          <w:b w:val="0"/>
          <w:bCs w:val="0"/>
          <w:sz w:val="20"/>
          <w:szCs w:val="24"/>
        </w:rPr>
        <w:t>质保期</w:t>
      </w:r>
      <w:r>
        <w:rPr>
          <w:rFonts w:hint="eastAsia" w:ascii="宋体" w:hAnsi="Courier New" w:eastAsiaTheme="minorEastAsia" w:cstheme="minorBidi"/>
          <w:b w:val="0"/>
          <w:bCs w:val="0"/>
          <w:sz w:val="20"/>
          <w:szCs w:val="24"/>
          <w:lang w:val="en-US" w:eastAsia="zh-CN"/>
        </w:rPr>
        <w:t>等服务要求。</w:t>
      </w:r>
    </w:p>
    <w:p>
      <w:pPr>
        <w:pStyle w:val="8"/>
        <w:spacing w:line="0" w:lineRule="atLeast"/>
        <w:ind w:left="336"/>
        <w:rPr>
          <w:rFonts w:hAnsi="宋体"/>
          <w:color w:val="FF0000"/>
        </w:rPr>
      </w:pPr>
    </w:p>
    <w:p/>
    <w:p/>
    <w:p>
      <w:pPr>
        <w:spacing w:line="480" w:lineRule="exact"/>
        <w:ind w:left="4599" w:leftChars="2190" w:firstLine="240" w:firstLineChars="100"/>
        <w:rPr>
          <w:rFonts w:ascii="宋体" w:hAnsi="宋体" w:cs="宋体"/>
          <w:sz w:val="24"/>
          <w:szCs w:val="24"/>
        </w:rPr>
      </w:pPr>
    </w:p>
    <w:p>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pPr>
        <w:spacing w:line="480" w:lineRule="exact"/>
        <w:ind w:firstLine="4560" w:firstLineChars="1900"/>
        <w:rPr>
          <w:rFonts w:ascii="宋体" w:hAnsi="宋体" w:cs="宋体"/>
          <w:sz w:val="24"/>
          <w:szCs w:val="24"/>
        </w:rPr>
      </w:pPr>
      <w:r>
        <w:rPr>
          <w:rFonts w:hint="eastAsia" w:ascii="宋体" w:hAnsi="宋体" w:cs="宋体"/>
          <w:sz w:val="24"/>
          <w:szCs w:val="24"/>
        </w:rPr>
        <w:t>日    期：</w:t>
      </w:r>
    </w:p>
    <w:p>
      <w:pPr>
        <w:rPr>
          <w:rFonts w:ascii="宋体" w:hAnsi="宋体" w:cs="宋体"/>
          <w:sz w:val="24"/>
          <w:szCs w:val="24"/>
        </w:rPr>
      </w:pPr>
    </w:p>
    <w:p>
      <w:pPr>
        <w:rPr>
          <w:rFonts w:ascii="宋体" w:hAnsi="宋体" w:cs="宋体"/>
          <w:sz w:val="24"/>
          <w:szCs w:val="24"/>
        </w:rPr>
      </w:pPr>
    </w:p>
    <w:p>
      <w:pPr>
        <w:pStyle w:val="9"/>
      </w:pPr>
    </w:p>
    <w:p>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pPr>
        <w:rPr>
          <w:rFonts w:hint="eastAsia" w:ascii="宋体" w:hAnsi="宋体" w:cs="宋体" w:eastAsiaTheme="minorEastAsia"/>
          <w:b/>
          <w:sz w:val="24"/>
          <w:lang w:eastAsia="zh-CN"/>
        </w:rPr>
      </w:pPr>
      <w:r>
        <w:rPr>
          <w:rFonts w:hint="eastAsia" w:ascii="宋体" w:hAnsi="宋体" w:cs="宋体"/>
          <w:b/>
          <w:sz w:val="24"/>
        </w:rPr>
        <w:br w:type="page"/>
      </w:r>
      <w:r>
        <w:rPr>
          <w:rFonts w:hint="eastAsia" w:ascii="宋体" w:hAnsi="宋体" w:cs="宋体"/>
          <w:b/>
          <w:sz w:val="24"/>
        </w:rPr>
        <w:t>附件</w:t>
      </w:r>
      <w:r>
        <w:rPr>
          <w:rFonts w:hint="eastAsia" w:ascii="宋体" w:hAnsi="宋体" w:cs="宋体"/>
          <w:b/>
          <w:sz w:val="24"/>
          <w:lang w:val="en-US" w:eastAsia="zh-CN"/>
        </w:rPr>
        <w:t>2</w:t>
      </w:r>
    </w:p>
    <w:p>
      <w:pPr>
        <w:spacing w:line="560" w:lineRule="exact"/>
        <w:jc w:val="center"/>
        <w:rPr>
          <w:rFonts w:ascii="宋体" w:hAnsi="宋体"/>
          <w:b/>
          <w:sz w:val="28"/>
          <w:szCs w:val="28"/>
        </w:rPr>
      </w:pPr>
      <w:r>
        <w:rPr>
          <w:rFonts w:hint="eastAsia" w:ascii="宋体" w:hAnsi="宋体"/>
          <w:b/>
          <w:sz w:val="28"/>
          <w:szCs w:val="28"/>
        </w:rPr>
        <w:t xml:space="preserve">报价明细表    </w:t>
      </w:r>
    </w:p>
    <w:p>
      <w:pPr>
        <w:spacing w:line="560" w:lineRule="exact"/>
        <w:jc w:val="center"/>
        <w:rPr>
          <w:rFonts w:ascii="宋体" w:hAnsi="宋体"/>
          <w:b/>
          <w:sz w:val="28"/>
          <w:szCs w:val="28"/>
        </w:rPr>
      </w:pPr>
      <w:r>
        <w:rPr>
          <w:rFonts w:hint="eastAsia" w:ascii="宋体" w:hAnsi="宋体"/>
          <w:b/>
          <w:sz w:val="28"/>
          <w:szCs w:val="28"/>
        </w:rPr>
        <w:t xml:space="preserve">                                             </w:t>
      </w:r>
      <w:r>
        <w:rPr>
          <w:rFonts w:hint="eastAsia" w:ascii="宋体" w:hAnsi="宋体"/>
          <w:sz w:val="22"/>
        </w:rPr>
        <w:t>货币单位：人民币元</w:t>
      </w:r>
    </w:p>
    <w:tbl>
      <w:tblPr>
        <w:tblStyle w:val="11"/>
        <w:tblW w:w="9015" w:type="dxa"/>
        <w:tblInd w:w="-34" w:type="dxa"/>
        <w:tblLayout w:type="fixed"/>
        <w:tblCellMar>
          <w:top w:w="0" w:type="dxa"/>
          <w:left w:w="108" w:type="dxa"/>
          <w:bottom w:w="0" w:type="dxa"/>
          <w:right w:w="108" w:type="dxa"/>
        </w:tblCellMar>
      </w:tblPr>
      <w:tblGrid>
        <w:gridCol w:w="648"/>
        <w:gridCol w:w="1350"/>
        <w:gridCol w:w="1770"/>
        <w:gridCol w:w="780"/>
        <w:gridCol w:w="825"/>
        <w:gridCol w:w="765"/>
        <w:gridCol w:w="690"/>
        <w:gridCol w:w="721"/>
        <w:gridCol w:w="705"/>
        <w:gridCol w:w="761"/>
      </w:tblGrid>
      <w:tr>
        <w:tblPrEx>
          <w:tblCellMar>
            <w:top w:w="0" w:type="dxa"/>
            <w:left w:w="108" w:type="dxa"/>
            <w:bottom w:w="0" w:type="dxa"/>
            <w:right w:w="108" w:type="dxa"/>
          </w:tblCellMar>
        </w:tblPrEx>
        <w:trPr>
          <w:trHeight w:val="555" w:hRule="atLeast"/>
          <w:tblHeader/>
        </w:trPr>
        <w:tc>
          <w:tcPr>
            <w:tcW w:w="64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jc w:val="center"/>
              <w:rPr>
                <w:rFonts w:ascii="方正楷体简体" w:hAnsi="宋体" w:eastAsia="方正楷体简体" w:cs="宋体"/>
                <w:b/>
                <w:kern w:val="2"/>
                <w:sz w:val="24"/>
                <w:szCs w:val="24"/>
              </w:rPr>
            </w:pPr>
            <w:r>
              <w:rPr>
                <w:rFonts w:hint="eastAsia" w:ascii="方正楷体简体" w:hAnsi="宋体" w:eastAsia="方正楷体简体" w:cs="宋体"/>
                <w:b/>
                <w:sz w:val="24"/>
              </w:rPr>
              <w:t>序号</w:t>
            </w:r>
          </w:p>
        </w:tc>
        <w:tc>
          <w:tcPr>
            <w:tcW w:w="1350" w:type="dxa"/>
            <w:tcBorders>
              <w:top w:val="single" w:color="auto" w:sz="4" w:space="0"/>
              <w:left w:val="nil"/>
              <w:bottom w:val="single" w:color="auto" w:sz="4" w:space="0"/>
              <w:right w:val="single" w:color="auto" w:sz="4" w:space="0"/>
            </w:tcBorders>
            <w:shd w:val="clear" w:color="auto" w:fill="auto"/>
            <w:vAlign w:val="center"/>
          </w:tcPr>
          <w:p>
            <w:pPr>
              <w:widowControl w:val="0"/>
              <w:jc w:val="center"/>
              <w:rPr>
                <w:rFonts w:ascii="方正楷体简体" w:hAnsi="宋体" w:eastAsia="方正楷体简体" w:cs="宋体"/>
                <w:b/>
                <w:sz w:val="24"/>
              </w:rPr>
            </w:pPr>
            <w:r>
              <w:rPr>
                <w:rFonts w:ascii="方正楷体简体" w:hAnsi="宋体" w:eastAsia="方正楷体简体" w:cs="宋体"/>
                <w:b/>
                <w:sz w:val="24"/>
              </w:rPr>
              <w:t>采购</w:t>
            </w:r>
            <w:r>
              <w:rPr>
                <w:rFonts w:hint="eastAsia" w:ascii="方正楷体简体" w:hAnsi="宋体" w:eastAsia="方正楷体简体" w:cs="宋体"/>
                <w:b/>
                <w:sz w:val="24"/>
                <w:lang w:val="en-US" w:eastAsia="zh-CN"/>
              </w:rPr>
              <w:t>产品</w:t>
            </w:r>
            <w:r>
              <w:rPr>
                <w:rFonts w:ascii="方正楷体简体" w:hAnsi="宋体" w:eastAsia="方正楷体简体" w:cs="宋体"/>
                <w:b/>
                <w:sz w:val="24"/>
              </w:rPr>
              <w:t>名称</w:t>
            </w:r>
          </w:p>
        </w:tc>
        <w:tc>
          <w:tcPr>
            <w:tcW w:w="1770" w:type="dxa"/>
            <w:tcBorders>
              <w:top w:val="single" w:color="auto" w:sz="4" w:space="0"/>
              <w:left w:val="nil"/>
              <w:bottom w:val="single" w:color="auto" w:sz="4" w:space="0"/>
              <w:right w:val="single" w:color="auto" w:sz="4" w:space="0"/>
            </w:tcBorders>
            <w:shd w:val="clear" w:color="auto" w:fill="auto"/>
            <w:vAlign w:val="center"/>
          </w:tcPr>
          <w:p>
            <w:pPr>
              <w:widowControl w:val="0"/>
              <w:jc w:val="center"/>
              <w:rPr>
                <w:rFonts w:hint="default" w:ascii="方正楷体简体" w:hAnsi="宋体" w:eastAsia="方正楷体简体" w:cs="宋体"/>
                <w:b/>
                <w:sz w:val="24"/>
                <w:lang w:val="en-US" w:eastAsia="zh-CN"/>
              </w:rPr>
            </w:pPr>
            <w:r>
              <w:rPr>
                <w:rFonts w:hint="eastAsia" w:ascii="方正楷体简体" w:hAnsi="宋体" w:eastAsia="方正楷体简体" w:cs="宋体"/>
                <w:b/>
                <w:sz w:val="24"/>
                <w:lang w:val="en-US" w:eastAsia="zh-CN"/>
              </w:rPr>
              <w:t>产品规格型号、具体参数</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val="0"/>
              <w:jc w:val="center"/>
              <w:rPr>
                <w:rFonts w:hint="eastAsia" w:ascii="方正楷体简体" w:hAnsi="宋体" w:eastAsia="方正楷体简体" w:cs="宋体"/>
                <w:b/>
                <w:kern w:val="2"/>
                <w:sz w:val="24"/>
                <w:szCs w:val="24"/>
                <w:lang w:val="en-US" w:eastAsia="zh-CN"/>
              </w:rPr>
            </w:pPr>
            <w:r>
              <w:rPr>
                <w:rFonts w:hint="eastAsia" w:ascii="方正楷体简体" w:hAnsi="宋体" w:eastAsia="方正楷体简体" w:cs="宋体"/>
                <w:b/>
                <w:kern w:val="2"/>
                <w:sz w:val="24"/>
                <w:szCs w:val="24"/>
                <w:lang w:val="en-US" w:eastAsia="zh-CN"/>
              </w:rPr>
              <w:t>品牌</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jc w:val="center"/>
              <w:rPr>
                <w:rFonts w:hint="default" w:ascii="方正楷体简体" w:hAnsi="宋体" w:eastAsia="方正楷体简体" w:cs="宋体"/>
                <w:b/>
                <w:kern w:val="2"/>
                <w:sz w:val="24"/>
                <w:szCs w:val="24"/>
                <w:lang w:val="en-US" w:eastAsia="zh-CN"/>
              </w:rPr>
            </w:pPr>
            <w:r>
              <w:rPr>
                <w:rFonts w:hint="eastAsia" w:ascii="方正楷体简体" w:hAnsi="宋体" w:eastAsia="方正楷体简体" w:cs="宋体"/>
                <w:b/>
                <w:kern w:val="2"/>
                <w:sz w:val="24"/>
                <w:szCs w:val="24"/>
                <w:lang w:val="en-US" w:eastAsia="zh-CN"/>
              </w:rPr>
              <w:t>产地</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jc w:val="center"/>
              <w:rPr>
                <w:rFonts w:hint="eastAsia" w:ascii="方正楷体简体" w:hAnsi="宋体" w:eastAsia="方正楷体简体" w:cs="宋体"/>
                <w:b/>
                <w:sz w:val="24"/>
                <w:lang w:val="en-US" w:eastAsia="zh-CN"/>
              </w:rPr>
            </w:pPr>
            <w:r>
              <w:rPr>
                <w:rFonts w:hint="eastAsia" w:ascii="方正楷体简体" w:hAnsi="宋体" w:eastAsia="方正楷体简体" w:cs="宋体"/>
                <w:b/>
                <w:sz w:val="24"/>
                <w:lang w:val="en-US" w:eastAsia="zh-CN"/>
              </w:rPr>
              <w:t>制造商</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jc w:val="center"/>
              <w:rPr>
                <w:rFonts w:hint="eastAsia" w:ascii="方正楷体简体" w:hAnsi="宋体" w:eastAsia="方正楷体简体" w:cs="宋体"/>
                <w:b/>
                <w:sz w:val="24"/>
                <w:lang w:val="en-US" w:eastAsia="zh-CN"/>
              </w:rPr>
            </w:pPr>
            <w:r>
              <w:rPr>
                <w:rFonts w:hint="eastAsia" w:ascii="方正楷体简体" w:hAnsi="宋体" w:eastAsia="方正楷体简体" w:cs="宋体"/>
                <w:b/>
                <w:sz w:val="24"/>
                <w:lang w:val="en-US" w:eastAsia="zh-CN"/>
              </w:rPr>
              <w:t>数量</w:t>
            </w:r>
          </w:p>
        </w:tc>
        <w:tc>
          <w:tcPr>
            <w:tcW w:w="721" w:type="dxa"/>
            <w:tcBorders>
              <w:top w:val="single" w:color="auto" w:sz="4" w:space="0"/>
              <w:left w:val="nil"/>
              <w:bottom w:val="single" w:color="auto" w:sz="4" w:space="0"/>
              <w:right w:val="single" w:color="auto" w:sz="4" w:space="0"/>
            </w:tcBorders>
            <w:shd w:val="clear" w:color="auto" w:fill="auto"/>
            <w:vAlign w:val="center"/>
          </w:tcPr>
          <w:p>
            <w:pPr>
              <w:widowControl w:val="0"/>
              <w:jc w:val="center"/>
              <w:rPr>
                <w:rFonts w:ascii="方正楷体简体" w:hAnsi="宋体" w:eastAsia="方正楷体简体" w:cs="宋体"/>
                <w:b/>
                <w:kern w:val="2"/>
                <w:sz w:val="24"/>
                <w:szCs w:val="24"/>
              </w:rPr>
            </w:pPr>
            <w:r>
              <w:rPr>
                <w:rFonts w:hint="eastAsia" w:ascii="方正楷体简体" w:hAnsi="宋体" w:eastAsia="方正楷体简体" w:cs="宋体"/>
                <w:b/>
                <w:sz w:val="24"/>
              </w:rPr>
              <w:t>单位</w:t>
            </w:r>
          </w:p>
        </w:tc>
        <w:tc>
          <w:tcPr>
            <w:tcW w:w="705" w:type="dxa"/>
            <w:tcBorders>
              <w:top w:val="single" w:color="auto" w:sz="4" w:space="0"/>
              <w:left w:val="nil"/>
              <w:bottom w:val="single" w:color="auto" w:sz="4" w:space="0"/>
              <w:right w:val="single" w:color="auto" w:sz="4" w:space="0"/>
            </w:tcBorders>
            <w:shd w:val="clear" w:color="auto" w:fill="auto"/>
            <w:vAlign w:val="center"/>
          </w:tcPr>
          <w:p>
            <w:pPr>
              <w:widowControl w:val="0"/>
              <w:jc w:val="center"/>
              <w:rPr>
                <w:rFonts w:ascii="方正楷体简体" w:hAnsi="宋体" w:eastAsia="方正楷体简体" w:cs="宋体"/>
                <w:b/>
                <w:kern w:val="2"/>
                <w:sz w:val="24"/>
                <w:szCs w:val="24"/>
              </w:rPr>
            </w:pPr>
            <w:r>
              <w:rPr>
                <w:rFonts w:hint="eastAsia" w:ascii="方正楷体简体" w:hAnsi="宋体" w:eastAsia="方正楷体简体" w:cs="宋体"/>
                <w:b/>
                <w:sz w:val="24"/>
              </w:rPr>
              <w:t>单价</w:t>
            </w:r>
          </w:p>
        </w:tc>
        <w:tc>
          <w:tcPr>
            <w:tcW w:w="761" w:type="dxa"/>
            <w:tcBorders>
              <w:top w:val="single" w:color="auto" w:sz="4" w:space="0"/>
              <w:left w:val="nil"/>
              <w:bottom w:val="single" w:color="auto" w:sz="4" w:space="0"/>
              <w:right w:val="single" w:color="auto" w:sz="4" w:space="0"/>
            </w:tcBorders>
            <w:shd w:val="clear" w:color="auto" w:fill="auto"/>
            <w:vAlign w:val="center"/>
          </w:tcPr>
          <w:p>
            <w:pPr>
              <w:widowControl w:val="0"/>
              <w:jc w:val="center"/>
              <w:rPr>
                <w:rFonts w:ascii="方正楷体简体" w:hAnsi="宋体" w:eastAsia="方正楷体简体" w:cs="宋体"/>
                <w:b/>
                <w:kern w:val="2"/>
                <w:sz w:val="24"/>
                <w:szCs w:val="24"/>
              </w:rPr>
            </w:pPr>
            <w:r>
              <w:rPr>
                <w:rFonts w:hint="eastAsia" w:ascii="方正楷体简体" w:hAnsi="宋体" w:eastAsia="方正楷体简体" w:cs="宋体"/>
                <w:b/>
                <w:sz w:val="24"/>
              </w:rPr>
              <w:t>总价</w:t>
            </w:r>
          </w:p>
        </w:tc>
      </w:tr>
      <w:tr>
        <w:tblPrEx>
          <w:tblCellMar>
            <w:top w:w="0" w:type="dxa"/>
            <w:left w:w="108" w:type="dxa"/>
            <w:bottom w:w="0" w:type="dxa"/>
            <w:right w:w="108" w:type="dxa"/>
          </w:tblCellMar>
        </w:tblPrEx>
        <w:trPr>
          <w:trHeight w:val="484" w:hRule="atLeast"/>
        </w:trPr>
        <w:tc>
          <w:tcPr>
            <w:tcW w:w="648" w:type="dxa"/>
            <w:tcBorders>
              <w:top w:val="nil"/>
              <w:left w:val="single" w:color="auto" w:sz="4" w:space="0"/>
              <w:bottom w:val="single" w:color="auto" w:sz="4" w:space="0"/>
              <w:right w:val="single" w:color="auto" w:sz="4" w:space="0"/>
            </w:tcBorders>
            <w:vAlign w:val="center"/>
          </w:tcPr>
          <w:p>
            <w:pPr>
              <w:widowControl w:val="0"/>
              <w:jc w:val="center"/>
              <w:rPr>
                <w:rFonts w:ascii="Calibri" w:hAnsi="Calibri" w:cs="Calibri"/>
                <w:kern w:val="2"/>
                <w:szCs w:val="21"/>
              </w:rPr>
            </w:pPr>
            <w:r>
              <w:rPr>
                <w:rFonts w:ascii="Calibri" w:hAnsi="Calibri" w:cs="Calibri"/>
                <w:szCs w:val="21"/>
              </w:rPr>
              <w:t>1</w:t>
            </w:r>
          </w:p>
        </w:tc>
        <w:tc>
          <w:tcPr>
            <w:tcW w:w="1350" w:type="dxa"/>
            <w:tcBorders>
              <w:top w:val="nil"/>
              <w:left w:val="nil"/>
              <w:bottom w:val="single" w:color="auto" w:sz="4" w:space="0"/>
              <w:right w:val="single" w:color="auto" w:sz="4" w:space="0"/>
            </w:tcBorders>
          </w:tcPr>
          <w:p>
            <w:pPr>
              <w:widowControl w:val="0"/>
              <w:rPr>
                <w:kern w:val="2"/>
                <w:szCs w:val="24"/>
              </w:rPr>
            </w:pPr>
          </w:p>
        </w:tc>
        <w:tc>
          <w:tcPr>
            <w:tcW w:w="1770" w:type="dxa"/>
            <w:tcBorders>
              <w:top w:val="nil"/>
              <w:left w:val="nil"/>
              <w:bottom w:val="single" w:color="auto" w:sz="4" w:space="0"/>
              <w:right w:val="single" w:color="auto" w:sz="4" w:space="0"/>
            </w:tcBorders>
          </w:tcPr>
          <w:p>
            <w:pPr>
              <w:widowControl w:val="0"/>
              <w:rPr>
                <w:kern w:val="2"/>
                <w:szCs w:val="24"/>
              </w:rPr>
            </w:pPr>
          </w:p>
        </w:tc>
        <w:tc>
          <w:tcPr>
            <w:tcW w:w="780" w:type="dxa"/>
            <w:tcBorders>
              <w:top w:val="nil"/>
              <w:left w:val="nil"/>
              <w:bottom w:val="single" w:color="auto" w:sz="4" w:space="0"/>
              <w:right w:val="single" w:color="auto" w:sz="4" w:space="0"/>
            </w:tcBorders>
            <w:noWrap/>
          </w:tcPr>
          <w:p>
            <w:pPr>
              <w:widowControl w:val="0"/>
              <w:rPr>
                <w:kern w:val="2"/>
                <w:szCs w:val="24"/>
              </w:rPr>
            </w:pPr>
          </w:p>
        </w:tc>
        <w:tc>
          <w:tcPr>
            <w:tcW w:w="825" w:type="dxa"/>
            <w:tcBorders>
              <w:top w:val="nil"/>
              <w:left w:val="single" w:color="auto" w:sz="4" w:space="0"/>
              <w:bottom w:val="single" w:color="auto" w:sz="4" w:space="0"/>
              <w:right w:val="single" w:color="auto" w:sz="4" w:space="0"/>
            </w:tcBorders>
            <w:noWrap/>
          </w:tcPr>
          <w:p>
            <w:pPr>
              <w:widowControl w:val="0"/>
              <w:rPr>
                <w:kern w:val="2"/>
                <w:szCs w:val="24"/>
              </w:rPr>
            </w:pPr>
          </w:p>
        </w:tc>
        <w:tc>
          <w:tcPr>
            <w:tcW w:w="765" w:type="dxa"/>
            <w:tcBorders>
              <w:top w:val="nil"/>
              <w:left w:val="single" w:color="auto" w:sz="4" w:space="0"/>
              <w:bottom w:val="single" w:color="auto" w:sz="4" w:space="0"/>
              <w:right w:val="single" w:color="auto" w:sz="4" w:space="0"/>
            </w:tcBorders>
            <w:noWrap/>
          </w:tcPr>
          <w:p>
            <w:pPr>
              <w:widowControl w:val="0"/>
              <w:rPr>
                <w:kern w:val="2"/>
                <w:szCs w:val="24"/>
              </w:rPr>
            </w:pPr>
          </w:p>
        </w:tc>
        <w:tc>
          <w:tcPr>
            <w:tcW w:w="690" w:type="dxa"/>
            <w:tcBorders>
              <w:top w:val="nil"/>
              <w:left w:val="single" w:color="auto" w:sz="4" w:space="0"/>
              <w:bottom w:val="single" w:color="auto" w:sz="4" w:space="0"/>
              <w:right w:val="single" w:color="auto" w:sz="4" w:space="0"/>
            </w:tcBorders>
            <w:noWrap/>
          </w:tcPr>
          <w:p>
            <w:pPr>
              <w:widowControl w:val="0"/>
              <w:rPr>
                <w:kern w:val="2"/>
                <w:szCs w:val="24"/>
              </w:rPr>
            </w:pPr>
          </w:p>
        </w:tc>
        <w:tc>
          <w:tcPr>
            <w:tcW w:w="721" w:type="dxa"/>
            <w:tcBorders>
              <w:top w:val="nil"/>
              <w:left w:val="nil"/>
              <w:bottom w:val="single" w:color="auto" w:sz="4" w:space="0"/>
              <w:right w:val="single" w:color="auto" w:sz="4" w:space="0"/>
            </w:tcBorders>
            <w:noWrap/>
          </w:tcPr>
          <w:p>
            <w:pPr>
              <w:widowControl w:val="0"/>
              <w:rPr>
                <w:kern w:val="2"/>
                <w:szCs w:val="24"/>
              </w:rPr>
            </w:pPr>
          </w:p>
        </w:tc>
        <w:tc>
          <w:tcPr>
            <w:tcW w:w="705" w:type="dxa"/>
            <w:tcBorders>
              <w:top w:val="nil"/>
              <w:left w:val="nil"/>
              <w:bottom w:val="single" w:color="auto" w:sz="4" w:space="0"/>
              <w:right w:val="single" w:color="auto" w:sz="4" w:space="0"/>
            </w:tcBorders>
            <w:noWrap/>
          </w:tcPr>
          <w:p>
            <w:pPr>
              <w:widowControl w:val="0"/>
              <w:rPr>
                <w:kern w:val="2"/>
                <w:szCs w:val="24"/>
              </w:rPr>
            </w:pPr>
          </w:p>
        </w:tc>
        <w:tc>
          <w:tcPr>
            <w:tcW w:w="761" w:type="dxa"/>
            <w:tcBorders>
              <w:top w:val="nil"/>
              <w:left w:val="nil"/>
              <w:bottom w:val="single" w:color="auto" w:sz="4" w:space="0"/>
              <w:right w:val="single" w:color="auto" w:sz="4" w:space="0"/>
            </w:tcBorders>
            <w:noWrap/>
          </w:tcPr>
          <w:p>
            <w:pPr>
              <w:widowControl w:val="0"/>
              <w:rPr>
                <w:kern w:val="2"/>
                <w:szCs w:val="24"/>
              </w:rPr>
            </w:pPr>
          </w:p>
        </w:tc>
      </w:tr>
      <w:tr>
        <w:tblPrEx>
          <w:tblCellMar>
            <w:top w:w="0" w:type="dxa"/>
            <w:left w:w="108" w:type="dxa"/>
            <w:bottom w:w="0" w:type="dxa"/>
            <w:right w:w="108" w:type="dxa"/>
          </w:tblCellMar>
        </w:tblPrEx>
        <w:trPr>
          <w:trHeight w:val="695" w:hRule="atLeast"/>
        </w:trPr>
        <w:tc>
          <w:tcPr>
            <w:tcW w:w="6138" w:type="dxa"/>
            <w:gridSpan w:val="6"/>
            <w:tcBorders>
              <w:top w:val="nil"/>
              <w:left w:val="single" w:color="auto" w:sz="4" w:space="0"/>
              <w:bottom w:val="single" w:color="auto" w:sz="4" w:space="0"/>
              <w:right w:val="single" w:color="auto" w:sz="4" w:space="0"/>
            </w:tcBorders>
            <w:vAlign w:val="center"/>
          </w:tcPr>
          <w:p>
            <w:pPr>
              <w:widowControl w:val="0"/>
              <w:jc w:val="center"/>
              <w:rPr>
                <w:rFonts w:hint="eastAsia" w:ascii="宋体" w:hAnsi="宋体" w:cs="宋体"/>
                <w:b/>
                <w:sz w:val="22"/>
                <w:szCs w:val="22"/>
              </w:rPr>
            </w:pPr>
            <w:r>
              <w:rPr>
                <w:rFonts w:hint="eastAsia" w:ascii="宋体" w:hAnsi="宋体" w:cs="宋体"/>
                <w:b/>
                <w:sz w:val="22"/>
                <w:szCs w:val="22"/>
              </w:rPr>
              <w:t>合计（总报价）</w:t>
            </w:r>
          </w:p>
        </w:tc>
        <w:tc>
          <w:tcPr>
            <w:tcW w:w="2877" w:type="dxa"/>
            <w:gridSpan w:val="4"/>
            <w:tcBorders>
              <w:top w:val="nil"/>
              <w:left w:val="single" w:color="auto" w:sz="4" w:space="0"/>
              <w:bottom w:val="single" w:color="auto" w:sz="4" w:space="0"/>
              <w:right w:val="single" w:color="auto" w:sz="4" w:space="0"/>
            </w:tcBorders>
            <w:vAlign w:val="center"/>
          </w:tcPr>
          <w:p>
            <w:pPr>
              <w:widowControl w:val="0"/>
              <w:rPr>
                <w:kern w:val="2"/>
                <w:szCs w:val="24"/>
              </w:rPr>
            </w:pPr>
          </w:p>
        </w:tc>
      </w:tr>
    </w:tbl>
    <w:p>
      <w:pPr>
        <w:snapToGrid w:val="0"/>
        <w:spacing w:line="460" w:lineRule="exact"/>
        <w:rPr>
          <w:rFonts w:hAnsi="宋体"/>
          <w:kern w:val="2"/>
          <w:szCs w:val="21"/>
        </w:rPr>
      </w:pPr>
      <w:r>
        <w:rPr>
          <w:rFonts w:hint="eastAsia" w:hAnsi="宋体"/>
          <w:szCs w:val="21"/>
        </w:rPr>
        <w:t>注：合计的“总报价”要与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pPr>
        <w:snapToGrid w:val="0"/>
        <w:spacing w:line="460" w:lineRule="exact"/>
        <w:ind w:firstLine="411" w:firstLineChars="196"/>
        <w:rPr>
          <w:rFonts w:hAnsi="宋体"/>
          <w:szCs w:val="21"/>
        </w:rPr>
      </w:pPr>
    </w:p>
    <w:p>
      <w:pPr>
        <w:snapToGrid w:val="0"/>
        <w:spacing w:line="460" w:lineRule="exact"/>
        <w:ind w:firstLine="411" w:firstLineChars="196"/>
        <w:rPr>
          <w:rFonts w:hAnsi="宋体"/>
          <w:szCs w:val="21"/>
        </w:rPr>
      </w:pPr>
    </w:p>
    <w:p>
      <w:pPr>
        <w:rPr>
          <w:rFonts w:hint="eastAsia" w:ascii="宋体" w:hAnsi="宋体" w:cs="宋体"/>
          <w:b/>
          <w:sz w:val="24"/>
        </w:rPr>
      </w:pPr>
      <w:r>
        <w:rPr>
          <w:rFonts w:hint="eastAsia"/>
          <w:b/>
          <w:sz w:val="24"/>
        </w:rPr>
        <w:t>（注：本报价表为必要文件，必须加盖报价供应商公章，否则作无效报价处理）</w:t>
      </w:r>
    </w:p>
    <w:p>
      <w:pPr>
        <w:rPr>
          <w:rFonts w:hint="eastAsia" w:ascii="宋体" w:hAnsi="宋体" w:cs="宋体"/>
          <w:b/>
          <w:sz w:val="24"/>
        </w:rPr>
      </w:pPr>
      <w:r>
        <w:rPr>
          <w:rFonts w:hint="eastAsia" w:ascii="宋体" w:hAnsi="宋体" w:cs="宋体"/>
          <w:b/>
          <w:sz w:val="24"/>
        </w:rPr>
        <w:br w:type="page"/>
      </w:r>
    </w:p>
    <w:p>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pPr>
        <w:pStyle w:val="3"/>
        <w:spacing w:before="0" w:after="0" w:line="400" w:lineRule="exact"/>
        <w:rPr>
          <w:rFonts w:ascii="宋体" w:hAnsi="宋体" w:cs="宋体"/>
          <w:szCs w:val="28"/>
        </w:rPr>
      </w:pPr>
    </w:p>
    <w:p>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pPr>
        <w:pStyle w:val="15"/>
        <w:widowControl w:val="0"/>
        <w:spacing w:line="480" w:lineRule="auto"/>
        <w:ind w:firstLine="0" w:firstLineChars="0"/>
        <w:jc w:val="left"/>
        <w:textAlignment w:val="auto"/>
        <w:rPr>
          <w:rFonts w:ascii="仿宋" w:hAnsi="仿宋" w:eastAsia="仿宋" w:cs="仿宋"/>
          <w:sz w:val="24"/>
          <w:szCs w:val="24"/>
        </w:rPr>
      </w:pPr>
    </w:p>
    <w:p>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pPr>
        <w:pStyle w:val="15"/>
        <w:ind w:firstLine="480"/>
        <w:jc w:val="left"/>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汉鼎简楷体">
    <w:altName w:val="宋体"/>
    <w:panose1 w:val="00000000000000000000"/>
    <w:charset w:val="86"/>
    <w:family w:val="modern"/>
    <w:pitch w:val="default"/>
    <w:sig w:usb0="00000000" w:usb1="00000000" w:usb2="00000010" w:usb3="00000000" w:csb0="00040000" w:csb1="00000000"/>
  </w:font>
  <w:font w:name="方正楷体简体">
    <w:altName w:val="宋体"/>
    <w:panose1 w:val="03000509000000000000"/>
    <w:charset w:val="86"/>
    <w:family w:val="script"/>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2A1AEE"/>
    <w:multiLevelType w:val="singleLevel"/>
    <w:tmpl w:val="822A1AEE"/>
    <w:lvl w:ilvl="0" w:tentative="0">
      <w:start w:val="1"/>
      <w:numFmt w:val="chineseCounting"/>
      <w:suff w:val="nothing"/>
      <w:lvlText w:val="（%1）"/>
      <w:lvlJc w:val="left"/>
      <w:pPr>
        <w:ind w:left="0" w:firstLine="420"/>
      </w:pPr>
      <w:rPr>
        <w:rFonts w:hint="eastAsia"/>
        <w:sz w:val="28"/>
        <w:szCs w:val="28"/>
      </w:rPr>
    </w:lvl>
  </w:abstractNum>
  <w:abstractNum w:abstractNumId="1">
    <w:nsid w:val="A2F13092"/>
    <w:multiLevelType w:val="singleLevel"/>
    <w:tmpl w:val="A2F13092"/>
    <w:lvl w:ilvl="0" w:tentative="0">
      <w:start w:val="3"/>
      <w:numFmt w:val="decimal"/>
      <w:suff w:val="nothing"/>
      <w:lvlText w:val="%1、"/>
      <w:lvlJc w:val="left"/>
    </w:lvl>
  </w:abstractNum>
  <w:abstractNum w:abstractNumId="2">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3">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4">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5">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6">
    <w:nsid w:val="20427A2D"/>
    <w:multiLevelType w:val="singleLevel"/>
    <w:tmpl w:val="20427A2D"/>
    <w:lvl w:ilvl="0" w:tentative="0">
      <w:start w:val="1"/>
      <w:numFmt w:val="chineseCounting"/>
      <w:suff w:val="nothing"/>
      <w:lvlText w:val="（%1）"/>
      <w:lvlJc w:val="left"/>
      <w:pPr>
        <w:ind w:left="0" w:firstLine="420"/>
      </w:pPr>
      <w:rPr>
        <w:rFonts w:hint="eastAsia"/>
        <w:sz w:val="28"/>
        <w:szCs w:val="28"/>
      </w:rPr>
    </w:lvl>
  </w:abstractNum>
  <w:abstractNum w:abstractNumId="7">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4"/>
  </w:num>
  <w:num w:numId="2">
    <w:abstractNumId w:val="5"/>
  </w:num>
  <w:num w:numId="3">
    <w:abstractNumId w:val="3"/>
  </w:num>
  <w:num w:numId="4">
    <w:abstractNumId w:val="0"/>
  </w:num>
  <w:num w:numId="5">
    <w:abstractNumId w:val="1"/>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3Y2VhZmY1ZjNkZjdhZmFhNzgwNGEwOGI5Mjc3MjcifQ=="/>
    <w:docVar w:name="KSO_WPS_MARK_KEY" w:val="7c71bd06-4f0d-4c30-b61d-3811b7e2e8a1"/>
  </w:docVars>
  <w:rsids>
    <w:rsidRoot w:val="00000000"/>
    <w:rsid w:val="03353615"/>
    <w:rsid w:val="0530100E"/>
    <w:rsid w:val="05D34F20"/>
    <w:rsid w:val="06B807E5"/>
    <w:rsid w:val="06D73361"/>
    <w:rsid w:val="06EB2968"/>
    <w:rsid w:val="072E0AA7"/>
    <w:rsid w:val="078E5DFF"/>
    <w:rsid w:val="08DB0410"/>
    <w:rsid w:val="0A062E0C"/>
    <w:rsid w:val="0A6A0048"/>
    <w:rsid w:val="0BDD0CD5"/>
    <w:rsid w:val="0F001001"/>
    <w:rsid w:val="0FA14F53"/>
    <w:rsid w:val="0FAC7731"/>
    <w:rsid w:val="109D66EC"/>
    <w:rsid w:val="10D601E5"/>
    <w:rsid w:val="120B2110"/>
    <w:rsid w:val="1269161B"/>
    <w:rsid w:val="131C20FB"/>
    <w:rsid w:val="14325D10"/>
    <w:rsid w:val="15ED073F"/>
    <w:rsid w:val="17A81ECF"/>
    <w:rsid w:val="17D47448"/>
    <w:rsid w:val="19F26CAA"/>
    <w:rsid w:val="1A444EEE"/>
    <w:rsid w:val="1D440623"/>
    <w:rsid w:val="1E311151"/>
    <w:rsid w:val="1F507DBE"/>
    <w:rsid w:val="212177E3"/>
    <w:rsid w:val="229D1137"/>
    <w:rsid w:val="24BB1A74"/>
    <w:rsid w:val="25203CCD"/>
    <w:rsid w:val="264A6E5E"/>
    <w:rsid w:val="27402C58"/>
    <w:rsid w:val="2C180514"/>
    <w:rsid w:val="2E1609D1"/>
    <w:rsid w:val="2E6C6D7A"/>
    <w:rsid w:val="2EA65243"/>
    <w:rsid w:val="31993A3E"/>
    <w:rsid w:val="31C52C12"/>
    <w:rsid w:val="370945C1"/>
    <w:rsid w:val="375D5654"/>
    <w:rsid w:val="37753A04"/>
    <w:rsid w:val="39142D2B"/>
    <w:rsid w:val="3B3360B0"/>
    <w:rsid w:val="3D840E45"/>
    <w:rsid w:val="3E893E94"/>
    <w:rsid w:val="3F516B05"/>
    <w:rsid w:val="3F9D2CB9"/>
    <w:rsid w:val="4221507E"/>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32E2B36"/>
    <w:rsid w:val="63AB2175"/>
    <w:rsid w:val="63EA3E83"/>
    <w:rsid w:val="64153CF6"/>
    <w:rsid w:val="647E12C8"/>
    <w:rsid w:val="64C235B4"/>
    <w:rsid w:val="671B3414"/>
    <w:rsid w:val="69175343"/>
    <w:rsid w:val="6A532BBE"/>
    <w:rsid w:val="6AA5542C"/>
    <w:rsid w:val="6C72589E"/>
    <w:rsid w:val="6DA240C6"/>
    <w:rsid w:val="6EB92BCC"/>
    <w:rsid w:val="6FEA3571"/>
    <w:rsid w:val="72D1172F"/>
    <w:rsid w:val="7320696C"/>
    <w:rsid w:val="74844CAB"/>
    <w:rsid w:val="74A470FC"/>
    <w:rsid w:val="754937FF"/>
    <w:rsid w:val="76E77774"/>
    <w:rsid w:val="774EE9EE"/>
    <w:rsid w:val="781E4519"/>
    <w:rsid w:val="78D43D28"/>
    <w:rsid w:val="7A031D6B"/>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2689</Words>
  <Characters>2849</Characters>
  <Lines>0</Lines>
  <Paragraphs>0</Paragraphs>
  <TotalTime>22</TotalTime>
  <ScaleCrop>false</ScaleCrop>
  <LinksUpToDate>false</LinksUpToDate>
  <CharactersWithSpaces>3118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南巷风</cp:lastModifiedBy>
  <dcterms:modified xsi:type="dcterms:W3CDTF">2024-05-21T02:51:16Z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FF7F5D803C7D4D84896B3FDACF3B9DCD_13</vt:lpwstr>
  </property>
</Properties>
</file>