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广东生态工程职业学院搭建生态环境因子采集设备及环境因子监测系统采购项目</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广东生态工程职业学院搭建生态环境因子采集设备及环境因子监测系统采购项目</w:t>
      </w: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98000.00元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6</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28</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714" w:type="pct"/>
        <w:jc w:val="center"/>
        <w:tblLayout w:type="autofit"/>
        <w:tblCellMar>
          <w:top w:w="0" w:type="dxa"/>
          <w:left w:w="0" w:type="dxa"/>
          <w:bottom w:w="0" w:type="dxa"/>
          <w:right w:w="0" w:type="dxa"/>
        </w:tblCellMar>
      </w:tblPr>
      <w:tblGrid>
        <w:gridCol w:w="1451"/>
        <w:gridCol w:w="8053"/>
      </w:tblGrid>
      <w:tr>
        <w:tblPrEx>
          <w:tblCellMar>
            <w:top w:w="0" w:type="dxa"/>
            <w:left w:w="0" w:type="dxa"/>
            <w:bottom w:w="0" w:type="dxa"/>
            <w:right w:w="0" w:type="dxa"/>
          </w:tblCellMar>
        </w:tblPrEx>
        <w:trPr>
          <w:trHeight w:val="621"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0" w:type="dxa"/>
            <w:bottom w:w="0" w:type="dxa"/>
            <w:right w:w="0" w:type="dxa"/>
          </w:tblCellMar>
        </w:tblPrEx>
        <w:trPr>
          <w:trHeight w:val="3373"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搭建生态环境因子设备及环境因子系统</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根据场地实际及甲方课程体系构建方案，配合甲方的教学使用需求，搭建生态环境因子采集设备及环境因子数据分析系统；</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生态五要素（风速、风向、温度、湿度、气压）、负氧离子等指标的监测及实时显示，指标监测</w:t>
            </w:r>
            <w:r>
              <w:rPr>
                <w:rFonts w:hint="eastAsia" w:ascii="仿宋" w:hAnsi="仿宋" w:eastAsia="仿宋" w:cs="仿宋"/>
                <w:sz w:val="24"/>
                <w:szCs w:val="24"/>
              </w:rPr>
              <w:t>结果符合国家气象计量站校准质量标准</w:t>
            </w:r>
            <w:r>
              <w:rPr>
                <w:rFonts w:hint="eastAsia" w:ascii="仿宋" w:hAnsi="仿宋" w:eastAsia="仿宋" w:cs="仿宋"/>
                <w:sz w:val="24"/>
                <w:szCs w:val="24"/>
                <w:lang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指标数据能自动采集，并</w:t>
            </w:r>
            <w:r>
              <w:rPr>
                <w:rFonts w:hint="eastAsia" w:ascii="仿宋" w:hAnsi="仿宋" w:eastAsia="仿宋" w:cs="仿宋"/>
                <w:sz w:val="24"/>
                <w:szCs w:val="24"/>
              </w:rPr>
              <w:t>支持4G传输</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监测设备支持户外长时间巡航；</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指标分析软件应支持多点同指标，一点多指标的数据分析，支持环境因子阈值管理、多图层管理及其必要的功能；</w:t>
            </w:r>
          </w:p>
          <w:p>
            <w:pPr>
              <w:keepNext w:val="0"/>
              <w:keepLines w:val="0"/>
              <w:pageBreakBefore w:val="0"/>
              <w:widowControl w:val="0"/>
              <w:numPr>
                <w:ilvl w:val="0"/>
                <w:numId w:val="4"/>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投入使用后，还应提供和承担必要的技术支持和设备维护。</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售后服务及质保期</w:t>
      </w:r>
    </w:p>
    <w:p>
      <w:pPr>
        <w:pStyle w:val="10"/>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售后服务要求</w:t>
      </w:r>
    </w:p>
    <w:p>
      <w:pPr>
        <w:pStyle w:val="10"/>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要求供应商在响应文件中提供详细具体的售后服务承诺条款。</w:t>
      </w:r>
    </w:p>
    <w:p>
      <w:pPr>
        <w:pStyle w:val="10"/>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pPr>
        <w:pStyle w:val="10"/>
        <w:keepNext w:val="0"/>
        <w:keepLines w:val="0"/>
        <w:pageBreakBefore w:val="0"/>
        <w:widowControl w:val="0"/>
        <w:numPr>
          <w:ilvl w:val="0"/>
          <w:numId w:val="6"/>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要求供应商必须拥有专业的售后维护服务团队，能够保证本项目所采购系统的正常运行。</w:t>
      </w:r>
    </w:p>
    <w:p>
      <w:pPr>
        <w:pStyle w:val="10"/>
        <w:keepNext w:val="0"/>
        <w:keepLines w:val="0"/>
        <w:pageBreakBefore w:val="0"/>
        <w:widowControl w:val="0"/>
        <w:numPr>
          <w:ilvl w:val="0"/>
          <w:numId w:val="5"/>
        </w:numPr>
        <w:kinsoku/>
        <w:wordWrap/>
        <w:overflowPunct/>
        <w:topLinePunct w:val="0"/>
        <w:autoSpaceDE/>
        <w:autoSpaceDN/>
        <w:bidi w:val="0"/>
        <w:adjustRightInd/>
        <w:snapToGrid/>
        <w:spacing w:after="0" w:line="360" w:lineRule="auto"/>
        <w:ind w:left="0"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质保期要求</w:t>
      </w:r>
    </w:p>
    <w:p>
      <w:pPr>
        <w:pStyle w:val="10"/>
        <w:spacing w:after="0" w:line="360" w:lineRule="auto"/>
        <w:ind w:left="239" w:leftChars="114" w:firstLine="432" w:firstLineChars="150"/>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本项目要求供应商书面承诺对软件产品提供自验收合格之日起五年免费升级维护，所需的费用应包含在报价中。</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7"/>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广东生态工程职业学院搭建生态环境因子采集设备及环境因子监测系统采购项目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5"/>
        <w:spacing w:line="480" w:lineRule="exact"/>
        <w:ind w:firstLine="100" w:firstLineChars="50"/>
        <w:rPr>
          <w:rFonts w:hAnsi="宋体"/>
        </w:rPr>
      </w:pPr>
      <w:r>
        <w:rPr>
          <w:rFonts w:hint="eastAsia" w:hAnsi="宋体"/>
        </w:rPr>
        <w:t>注：</w:t>
      </w:r>
    </w:p>
    <w:p>
      <w:pPr>
        <w:pStyle w:val="5"/>
        <w:numPr>
          <w:ilvl w:val="0"/>
          <w:numId w:val="8"/>
        </w:numPr>
        <w:spacing w:line="0" w:lineRule="atLeast"/>
        <w:rPr>
          <w:rFonts w:hAnsi="宋体"/>
        </w:rPr>
      </w:pPr>
      <w:r>
        <w:rPr>
          <w:rFonts w:hint="eastAsia" w:hAnsi="宋体"/>
        </w:rPr>
        <w:t>本表报价包含完成本项目应预见和不可预见的一切含税费用。</w:t>
      </w:r>
    </w:p>
    <w:p>
      <w:pPr>
        <w:pStyle w:val="5"/>
        <w:numPr>
          <w:ilvl w:val="0"/>
          <w:numId w:val="8"/>
        </w:numPr>
        <w:spacing w:line="0" w:lineRule="atLeast"/>
        <w:rPr>
          <w:rFonts w:hAnsi="宋体"/>
        </w:rPr>
      </w:pPr>
      <w:r>
        <w:rPr>
          <w:rFonts w:hint="eastAsia"/>
        </w:rPr>
        <w:t>填写此表时不得改变表格的形式。</w:t>
      </w:r>
    </w:p>
    <w:p>
      <w:pPr>
        <w:pStyle w:val="5"/>
        <w:numPr>
          <w:ilvl w:val="0"/>
          <w:numId w:val="8"/>
        </w:numPr>
        <w:spacing w:line="0" w:lineRule="atLeast"/>
        <w:rPr>
          <w:rFonts w:hAnsi="宋体"/>
        </w:rPr>
      </w:pPr>
      <w:r>
        <w:rPr>
          <w:rFonts w:hint="eastAsia"/>
        </w:rPr>
        <w:t>以上表中内容必须计算机录入、填写、打印。手写按无效报价处理。</w:t>
      </w:r>
    </w:p>
    <w:p>
      <w:pPr>
        <w:pStyle w:val="5"/>
        <w:numPr>
          <w:ilvl w:val="0"/>
          <w:numId w:val="8"/>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5"/>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8"/>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953" w:type="pct"/>
        <w:jc w:val="center"/>
        <w:tblLayout w:type="fixed"/>
        <w:tblCellMar>
          <w:top w:w="0" w:type="dxa"/>
          <w:left w:w="108" w:type="dxa"/>
          <w:bottom w:w="0" w:type="dxa"/>
          <w:right w:w="108" w:type="dxa"/>
        </w:tblCellMar>
      </w:tblPr>
      <w:tblGrid>
        <w:gridCol w:w="1243"/>
        <w:gridCol w:w="4790"/>
        <w:gridCol w:w="2320"/>
        <w:gridCol w:w="1794"/>
      </w:tblGrid>
      <w:tr>
        <w:tblPrEx>
          <w:tblCellMar>
            <w:top w:w="0" w:type="dxa"/>
            <w:left w:w="108" w:type="dxa"/>
            <w:bottom w:w="0" w:type="dxa"/>
            <w:right w:w="108" w:type="dxa"/>
          </w:tblCellMar>
        </w:tblPrEx>
        <w:trPr>
          <w:trHeight w:val="295" w:hRule="atLeast"/>
          <w:jc w:val="center"/>
        </w:trPr>
        <w:tc>
          <w:tcPr>
            <w:tcW w:w="6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503"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tblPrEx>
          <w:tblCellMar>
            <w:top w:w="0" w:type="dxa"/>
            <w:left w:w="108" w:type="dxa"/>
            <w:bottom w:w="0" w:type="dxa"/>
            <w:right w:w="108" w:type="dxa"/>
          </w:tblCellMar>
        </w:tblPrEx>
        <w:trPr>
          <w:trHeight w:val="344" w:hRule="atLeast"/>
          <w:jc w:val="center"/>
        </w:trPr>
        <w:tc>
          <w:tcPr>
            <w:tcW w:w="6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搭建生态环境因子设备及环境因子系统</w:t>
            </w:r>
          </w:p>
        </w:tc>
        <w:tc>
          <w:tcPr>
            <w:tcW w:w="3503"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根据场地实际及甲方课程体系构建方案，配合甲方的教学使用需求，搭建生态环境因子采集设备及环境因子数据分析系统；</w:t>
            </w:r>
          </w:p>
          <w:p>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生态五要素（风速、风向、温度、湿度、气压）、负氧离子等指标的监测及实时显示，指标监测</w:t>
            </w:r>
            <w:r>
              <w:rPr>
                <w:rFonts w:hint="eastAsia" w:ascii="仿宋" w:hAnsi="仿宋" w:eastAsia="仿宋" w:cs="仿宋"/>
                <w:sz w:val="24"/>
                <w:szCs w:val="24"/>
              </w:rPr>
              <w:t>结果符合国家气象计量站校准质量标准</w:t>
            </w:r>
            <w:r>
              <w:rPr>
                <w:rFonts w:hint="eastAsia" w:ascii="仿宋" w:hAnsi="仿宋" w:eastAsia="仿宋" w:cs="仿宋"/>
                <w:sz w:val="24"/>
                <w:szCs w:val="24"/>
                <w:lang w:eastAsia="zh-CN"/>
              </w:rPr>
              <w:t>；</w:t>
            </w:r>
          </w:p>
          <w:p>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指标数据能自动采集，并</w:t>
            </w:r>
            <w:r>
              <w:rPr>
                <w:rFonts w:hint="eastAsia" w:ascii="仿宋" w:hAnsi="仿宋" w:eastAsia="仿宋" w:cs="仿宋"/>
                <w:sz w:val="24"/>
                <w:szCs w:val="24"/>
              </w:rPr>
              <w:t>支持4G传输</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监测设备支持户外长时间巡航；</w:t>
            </w:r>
          </w:p>
          <w:p>
            <w:pPr>
              <w:keepNext w:val="0"/>
              <w:keepLines w:val="0"/>
              <w:pageBreakBefore w:val="0"/>
              <w:widowControl w:val="0"/>
              <w:numPr>
                <w:ilvl w:val="0"/>
                <w:numId w:val="9"/>
              </w:numPr>
              <w:kinsoku/>
              <w:wordWrap/>
              <w:overflowPunct/>
              <w:topLinePunct w:val="0"/>
              <w:autoSpaceDE/>
              <w:autoSpaceDN/>
              <w:bidi w:val="0"/>
              <w:adjustRightInd w:val="0"/>
              <w:snapToGrid w:val="0"/>
              <w:spacing w:line="312" w:lineRule="auto"/>
              <w:ind w:left="0" w:leftChars="0" w:firstLine="0" w:firstLine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指标分析软件应支持多点同指标，一点多指标的数据分析，支持环境因子阈值管理、多图层管理及其必要的功能；</w:t>
            </w:r>
          </w:p>
          <w:p>
            <w:pPr>
              <w:widowControl/>
              <w:numPr>
                <w:ilvl w:val="0"/>
                <w:numId w:val="0"/>
              </w:numPr>
              <w:jc w:val="left"/>
              <w:textAlignment w:val="center"/>
              <w:rPr>
                <w:rFonts w:hint="default" w:eastAsia="仿宋"/>
                <w:lang w:val="en-US" w:eastAsia="zh-CN"/>
              </w:rPr>
            </w:pPr>
            <w:r>
              <w:rPr>
                <w:rFonts w:hint="eastAsia" w:ascii="仿宋" w:hAnsi="仿宋" w:eastAsia="仿宋" w:cs="仿宋"/>
                <w:sz w:val="24"/>
                <w:szCs w:val="24"/>
                <w:lang w:val="en-US" w:eastAsia="zh-CN"/>
              </w:rPr>
              <w:t>投入使用后，还应提供和承担必要的技术支持和设备维护。</w:t>
            </w: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r>
        <w:tblPrEx>
          <w:tblCellMar>
            <w:top w:w="0" w:type="dxa"/>
            <w:left w:w="108" w:type="dxa"/>
            <w:bottom w:w="0" w:type="dxa"/>
            <w:right w:w="108" w:type="dxa"/>
          </w:tblCellMar>
        </w:tblPrEx>
        <w:trPr>
          <w:trHeight w:val="638" w:hRule="atLeast"/>
          <w:jc w:val="center"/>
        </w:trPr>
        <w:tc>
          <w:tcPr>
            <w:tcW w:w="2972"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合计（总报价）</w:t>
            </w:r>
          </w:p>
        </w:tc>
        <w:tc>
          <w:tcPr>
            <w:tcW w:w="2027"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bookmarkStart w:id="0" w:name="_GoBack"/>
      <w:bookmarkEnd w:id="0"/>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7"/>
        <w:widowControl w:val="0"/>
        <w:spacing w:line="480" w:lineRule="auto"/>
        <w:ind w:firstLine="0" w:firstLineChars="0"/>
        <w:jc w:val="left"/>
        <w:textAlignment w:val="auto"/>
        <w:rPr>
          <w:rFonts w:ascii="仿宋" w:hAnsi="仿宋" w:eastAsia="仿宋" w:cs="仿宋"/>
          <w:sz w:val="24"/>
          <w:szCs w:val="24"/>
        </w:rPr>
      </w:pPr>
    </w:p>
    <w:p>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pPr>
        <w:pStyle w:val="17"/>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8665B07"/>
    <w:multiLevelType w:val="singleLevel"/>
    <w:tmpl w:val="D8665B07"/>
    <w:lvl w:ilvl="0" w:tentative="0">
      <w:start w:val="1"/>
      <w:numFmt w:val="decimal"/>
      <w:suff w:val="nothing"/>
      <w:lvlText w:val="(%1)"/>
      <w:lvlJc w:val="left"/>
      <w:pPr>
        <w:tabs>
          <w:tab w:val="left" w:pos="0"/>
        </w:tabs>
        <w:ind w:left="0" w:leftChars="0" w:firstLine="0" w:firstLineChars="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7">
    <w:nsid w:val="647304F4"/>
    <w:multiLevelType w:val="singleLevel"/>
    <w:tmpl w:val="647304F4"/>
    <w:lvl w:ilvl="0" w:tentative="0">
      <w:start w:val="1"/>
      <w:numFmt w:val="decimal"/>
      <w:suff w:val="nothing"/>
      <w:lvlText w:val="%1、"/>
      <w:lvlJc w:val="left"/>
      <w:pPr>
        <w:ind w:left="0" w:firstLine="0"/>
      </w:pPr>
    </w:lvl>
  </w:abstractNum>
  <w:abstractNum w:abstractNumId="8">
    <w:nsid w:val="78050C9C"/>
    <w:multiLevelType w:val="singleLevel"/>
    <w:tmpl w:val="78050C9C"/>
    <w:lvl w:ilvl="0" w:tentative="0">
      <w:start w:val="1"/>
      <w:numFmt w:val="decimal"/>
      <w:suff w:val="nothing"/>
      <w:lvlText w:val="%1、"/>
      <w:lvlJc w:val="left"/>
      <w:pPr>
        <w:ind w:left="0" w:firstLine="0"/>
      </w:pPr>
    </w:lvl>
  </w:abstractNum>
  <w:num w:numId="1">
    <w:abstractNumId w:val="4"/>
  </w:num>
  <w:num w:numId="2">
    <w:abstractNumId w:val="5"/>
  </w:num>
  <w:num w:numId="3">
    <w:abstractNumId w:val="2"/>
  </w:num>
  <w:num w:numId="4">
    <w:abstractNumId w:val="7"/>
  </w:num>
  <w:num w:numId="5">
    <w:abstractNumId w:val="0"/>
  </w:num>
  <w:num w:numId="6">
    <w:abstractNumId w:val="3"/>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10869</Words>
  <Characters>11063</Characters>
  <Lines>0</Lines>
  <Paragraphs>0</Paragraphs>
  <TotalTime>21</TotalTime>
  <ScaleCrop>false</ScaleCrop>
  <LinksUpToDate>false</LinksUpToDate>
  <CharactersWithSpaces>11320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2024-06-25T02:11:45Z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73DF1C4129474E488C9DFA3E949F46AB_13</vt:lpwstr>
  </property>
</Properties>
</file>