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326E2B0">
      <w:pPr>
        <w:jc w:val="center"/>
      </w:pPr>
      <w:r>
        <w:rPr>
          <w:rFonts w:hint="eastAsia" w:asciiTheme="majorEastAsia" w:hAnsiTheme="majorEastAsia" w:eastAsiaTheme="majorEastAsia" w:cstheme="majorEastAsia"/>
          <w:b/>
          <w:color w:val="000000" w:themeColor="text1"/>
          <w:sz w:val="36"/>
          <w:szCs w:val="36"/>
          <w14:textFill>
            <w14:solidFill>
              <w14:schemeClr w14:val="tx1"/>
            </w14:solidFill>
          </w14:textFill>
        </w:rPr>
        <w:t>广东生态工程职业学院升级天河校区(银屏岭)正门和东门车辆收费系统采购项目</w:t>
      </w:r>
      <w:r>
        <w:rPr>
          <w:rFonts w:hint="eastAsia" w:asciiTheme="majorEastAsia" w:hAnsiTheme="majorEastAsia" w:eastAsiaTheme="majorEastAsia" w:cstheme="majorEastAsia"/>
          <w:b/>
          <w:sz w:val="36"/>
          <w:szCs w:val="36"/>
        </w:rPr>
        <w:t>需求书</w:t>
      </w:r>
    </w:p>
    <w:p w14:paraId="19C52018">
      <w:pPr>
        <w:spacing w:line="360" w:lineRule="auto"/>
        <w:jc w:val="left"/>
        <w:rPr>
          <w:rFonts w:hint="eastAsia" w:ascii="宋体" w:hAnsi="宋体" w:eastAsia="宋体" w:cs="宋体"/>
          <w:sz w:val="28"/>
          <w:szCs w:val="28"/>
        </w:rPr>
      </w:pPr>
    </w:p>
    <w:p w14:paraId="10143039">
      <w:pPr>
        <w:pStyle w:val="16"/>
        <w:numPr>
          <w:ilvl w:val="0"/>
          <w:numId w:val="1"/>
        </w:numPr>
        <w:spacing w:line="360" w:lineRule="auto"/>
        <w:ind w:firstLine="562"/>
        <w:jc w:val="left"/>
        <w:rPr>
          <w:rFonts w:hint="eastAsia" w:ascii="宋体" w:hAnsi="宋体" w:eastAsia="宋体" w:cs="宋体"/>
          <w:sz w:val="28"/>
          <w:szCs w:val="28"/>
        </w:rPr>
      </w:pPr>
      <w:r>
        <w:rPr>
          <w:rFonts w:hint="eastAsia" w:ascii="宋体" w:hAnsi="宋体" w:eastAsia="宋体" w:cs="宋体"/>
          <w:b/>
          <w:bCs w:val="0"/>
          <w:sz w:val="28"/>
          <w:szCs w:val="28"/>
        </w:rPr>
        <w:t>项目名称:</w:t>
      </w:r>
      <w:r>
        <w:rPr>
          <w:rFonts w:hint="eastAsia" w:ascii="宋体" w:hAnsi="宋体" w:eastAsia="宋体" w:cs="宋体"/>
          <w:sz w:val="28"/>
          <w:szCs w:val="28"/>
        </w:rPr>
        <w:t>广东生态工程职业学院升级天河校区(银屏岭)正门和东门车辆收费系统采购项目</w:t>
      </w:r>
    </w:p>
    <w:p w14:paraId="12497ADC">
      <w:pPr>
        <w:pStyle w:val="16"/>
        <w:numPr>
          <w:ilvl w:val="0"/>
          <w:numId w:val="1"/>
        </w:numPr>
        <w:spacing w:line="360" w:lineRule="auto"/>
        <w:ind w:firstLine="562"/>
        <w:jc w:val="left"/>
        <w:rPr>
          <w:sz w:val="28"/>
          <w:szCs w:val="28"/>
        </w:rPr>
      </w:pPr>
      <w:r>
        <w:rPr>
          <w:rFonts w:hint="eastAsia" w:ascii="宋体" w:hAnsi="宋体" w:eastAsia="宋体" w:cs="宋体"/>
          <w:b/>
          <w:bCs w:val="0"/>
          <w:sz w:val="28"/>
          <w:szCs w:val="28"/>
        </w:rPr>
        <w:t>项目预算：</w:t>
      </w:r>
      <w:r>
        <w:rPr>
          <w:rFonts w:hint="eastAsia" w:ascii="宋体" w:hAnsi="宋体" w:eastAsia="宋体" w:cs="宋体"/>
          <w:sz w:val="28"/>
          <w:szCs w:val="28"/>
        </w:rPr>
        <w:t>98000.00元</w:t>
      </w:r>
    </w:p>
    <w:p w14:paraId="16CB4740">
      <w:pPr>
        <w:numPr>
          <w:ilvl w:val="0"/>
          <w:numId w:val="1"/>
        </w:numPr>
        <w:spacing w:line="360" w:lineRule="auto"/>
        <w:ind w:firstLine="562" w:firstLineChars="200"/>
        <w:rPr>
          <w:rFonts w:hint="eastAsia" w:ascii="宋体" w:hAnsi="宋体" w:cs="宋体"/>
          <w:sz w:val="28"/>
          <w:szCs w:val="28"/>
        </w:rPr>
      </w:pPr>
      <w:r>
        <w:rPr>
          <w:rFonts w:hint="eastAsia" w:ascii="宋体" w:hAnsi="宋体" w:eastAsia="宋体" w:cs="宋体"/>
          <w:b/>
          <w:bCs/>
          <w:sz w:val="28"/>
          <w:szCs w:val="28"/>
        </w:rPr>
        <w:t>送货地址:</w:t>
      </w:r>
      <w:r>
        <w:rPr>
          <w:rFonts w:hint="eastAsia" w:ascii="宋体" w:hAnsi="宋体" w:cs="宋体"/>
          <w:sz w:val="28"/>
          <w:szCs w:val="28"/>
        </w:rPr>
        <w:t xml:space="preserve"> </w:t>
      </w:r>
      <w:r>
        <w:rPr>
          <w:rFonts w:hint="eastAsia" w:ascii="宋体" w:hAnsi="宋体" w:eastAsia="宋体" w:cs="宋体"/>
          <w:sz w:val="28"/>
          <w:szCs w:val="28"/>
        </w:rPr>
        <w:t>广州市天河区广汕一路297号</w:t>
      </w:r>
    </w:p>
    <w:p w14:paraId="6594E243">
      <w:pPr>
        <w:numPr>
          <w:ilvl w:val="0"/>
          <w:numId w:val="1"/>
        </w:numPr>
        <w:spacing w:line="360" w:lineRule="auto"/>
        <w:ind w:firstLine="562" w:firstLineChars="200"/>
        <w:rPr>
          <w:rFonts w:hint="eastAsia" w:ascii="宋体" w:hAnsi="宋体" w:cs="宋体"/>
          <w:sz w:val="28"/>
          <w:szCs w:val="28"/>
        </w:rPr>
      </w:pPr>
      <w:r>
        <w:rPr>
          <w:rFonts w:hint="eastAsia" w:ascii="宋体" w:hAnsi="宋体" w:cs="宋体"/>
          <w:b/>
          <w:bCs/>
          <w:sz w:val="28"/>
          <w:szCs w:val="28"/>
        </w:rPr>
        <w:t>项目报价：</w:t>
      </w:r>
      <w:r>
        <w:rPr>
          <w:rFonts w:hint="eastAsia" w:ascii="宋体" w:hAnsi="宋体" w:cs="宋体"/>
          <w:sz w:val="28"/>
          <w:szCs w:val="28"/>
        </w:rPr>
        <w:t>超过预算金额则视为无效报价</w:t>
      </w:r>
    </w:p>
    <w:p w14:paraId="17F7BA37">
      <w:pPr>
        <w:numPr>
          <w:ilvl w:val="0"/>
          <w:numId w:val="1"/>
        </w:numPr>
        <w:spacing w:line="360" w:lineRule="auto"/>
        <w:ind w:firstLine="562" w:firstLineChars="200"/>
        <w:rPr>
          <w:rFonts w:hint="eastAsia" w:ascii="宋体" w:hAnsi="宋体" w:cs="宋体"/>
          <w:b/>
          <w:bCs/>
          <w:sz w:val="28"/>
          <w:szCs w:val="28"/>
        </w:rPr>
      </w:pPr>
      <w:r>
        <w:rPr>
          <w:rFonts w:hint="eastAsia" w:ascii="宋体" w:hAnsi="宋体" w:cs="宋体"/>
          <w:b/>
          <w:bCs/>
          <w:sz w:val="28"/>
          <w:szCs w:val="28"/>
        </w:rPr>
        <w:t>供应商须知：</w:t>
      </w:r>
    </w:p>
    <w:p w14:paraId="5F6BCEC2">
      <w:pPr>
        <w:numPr>
          <w:ilvl w:val="0"/>
          <w:numId w:val="2"/>
        </w:numPr>
        <w:spacing w:line="360" w:lineRule="auto"/>
        <w:rPr>
          <w:rFonts w:hint="eastAsia" w:ascii="宋体" w:hAnsi="宋体" w:cs="宋体"/>
          <w:sz w:val="28"/>
          <w:szCs w:val="28"/>
        </w:rPr>
      </w:pPr>
      <w:r>
        <w:rPr>
          <w:rFonts w:hint="eastAsia" w:ascii="宋体" w:hAnsi="宋体" w:cs="宋体"/>
          <w:sz w:val="28"/>
          <w:szCs w:val="28"/>
          <w:lang w:val="zh-CN"/>
        </w:rPr>
        <w:t>供应商应具备《政府采购法》第二十二条规定的条件。</w:t>
      </w:r>
    </w:p>
    <w:p w14:paraId="13744232">
      <w:pPr>
        <w:numPr>
          <w:ilvl w:val="0"/>
          <w:numId w:val="3"/>
        </w:numPr>
        <w:spacing w:line="360" w:lineRule="auto"/>
        <w:ind w:firstLine="560" w:firstLineChars="200"/>
        <w:rPr>
          <w:rFonts w:hint="eastAsia" w:ascii="宋体" w:hAnsi="宋体" w:cs="宋体"/>
          <w:sz w:val="28"/>
          <w:szCs w:val="28"/>
        </w:rPr>
      </w:pPr>
      <w:r>
        <w:rPr>
          <w:rFonts w:hint="eastAsia" w:ascii="宋体" w:hAnsi="宋体" w:cs="宋体"/>
          <w:sz w:val="28"/>
          <w:szCs w:val="28"/>
        </w:rPr>
        <w:t>投标人是具有独立承担民事责任能力的法人或其他组织；（提供营业执照、税务登记证及组织机构代码证、或三证合一复印件）；</w:t>
      </w:r>
    </w:p>
    <w:p w14:paraId="6B582251">
      <w:pPr>
        <w:numPr>
          <w:ilvl w:val="0"/>
          <w:numId w:val="3"/>
        </w:numPr>
        <w:spacing w:line="360" w:lineRule="auto"/>
        <w:ind w:firstLine="560" w:firstLineChars="200"/>
        <w:rPr>
          <w:rFonts w:hint="eastAsia" w:ascii="宋体" w:hAnsi="宋体" w:cs="宋体"/>
          <w:sz w:val="28"/>
          <w:szCs w:val="28"/>
        </w:rPr>
      </w:pPr>
      <w:r>
        <w:rPr>
          <w:rFonts w:hint="eastAsia" w:ascii="宋体" w:hAnsi="宋体" w:cs="宋体"/>
          <w:sz w:val="28"/>
          <w:szCs w:val="28"/>
        </w:rPr>
        <w:t>具有履行合同所必需的设备和专业技术能力；</w:t>
      </w:r>
    </w:p>
    <w:p w14:paraId="305F488C">
      <w:pPr>
        <w:numPr>
          <w:ilvl w:val="0"/>
          <w:numId w:val="3"/>
        </w:numPr>
        <w:spacing w:line="360" w:lineRule="auto"/>
        <w:ind w:firstLine="560" w:firstLineChars="200"/>
        <w:rPr>
          <w:rFonts w:hint="eastAsia" w:ascii="宋体" w:hAnsi="宋体" w:cs="宋体"/>
          <w:sz w:val="28"/>
          <w:szCs w:val="28"/>
        </w:rPr>
      </w:pPr>
      <w:r>
        <w:rPr>
          <w:rFonts w:hint="eastAsia" w:ascii="宋体" w:hAnsi="宋体" w:cs="宋体"/>
          <w:sz w:val="28"/>
          <w:szCs w:val="28"/>
        </w:rPr>
        <w:t>投标人具有依法纳税和社会保障资金的良好记录；</w:t>
      </w:r>
    </w:p>
    <w:p w14:paraId="6271B173">
      <w:pPr>
        <w:numPr>
          <w:ilvl w:val="0"/>
          <w:numId w:val="3"/>
        </w:numPr>
        <w:spacing w:line="360" w:lineRule="auto"/>
        <w:ind w:firstLine="560" w:firstLineChars="200"/>
        <w:rPr>
          <w:rFonts w:hint="eastAsia" w:ascii="宋体" w:hAnsi="宋体" w:cs="宋体"/>
          <w:sz w:val="28"/>
          <w:szCs w:val="28"/>
        </w:rPr>
      </w:pPr>
      <w:r>
        <w:rPr>
          <w:rFonts w:hint="eastAsia" w:ascii="宋体" w:hAnsi="宋体" w:cs="宋体"/>
          <w:sz w:val="28"/>
          <w:szCs w:val="28"/>
        </w:rPr>
        <w:t>具有良好的商业信誉和健全的财务会计制度；</w:t>
      </w:r>
    </w:p>
    <w:p w14:paraId="333F9F3A">
      <w:pPr>
        <w:numPr>
          <w:ilvl w:val="0"/>
          <w:numId w:val="3"/>
        </w:numPr>
        <w:spacing w:line="360" w:lineRule="auto"/>
        <w:ind w:firstLine="560" w:firstLineChars="200"/>
        <w:rPr>
          <w:rFonts w:hint="eastAsia" w:ascii="宋体" w:hAnsi="宋体" w:cs="宋体"/>
          <w:sz w:val="28"/>
          <w:szCs w:val="28"/>
        </w:rPr>
      </w:pPr>
      <w:r>
        <w:rPr>
          <w:rFonts w:hint="eastAsia" w:ascii="宋体" w:hAnsi="宋体" w:cs="宋体"/>
          <w:sz w:val="28"/>
          <w:szCs w:val="28"/>
        </w:rPr>
        <w:t>参加政府采购活动前三年内，在经营活动中无重大违法记录；</w:t>
      </w:r>
    </w:p>
    <w:p w14:paraId="2F569BF7">
      <w:pPr>
        <w:numPr>
          <w:ilvl w:val="0"/>
          <w:numId w:val="2"/>
        </w:numPr>
        <w:spacing w:line="360" w:lineRule="auto"/>
        <w:rPr>
          <w:rFonts w:hint="eastAsia" w:ascii="宋体" w:hAnsi="宋体" w:cs="宋体"/>
          <w:sz w:val="28"/>
          <w:szCs w:val="28"/>
        </w:rPr>
      </w:pPr>
      <w:r>
        <w:rPr>
          <w:rFonts w:hint="eastAsia" w:ascii="宋体" w:hAnsi="宋体" w:cs="宋体"/>
          <w:sz w:val="28"/>
          <w:szCs w:val="28"/>
        </w:rPr>
        <w:t>报价供应商认真查看项目需求书（附件），根据项目需求书上的要求填写信息和提交资料，报价表不允许改动并完整打印，否则视为无效报价（备注：所提供的资料均需加盖公章）。</w:t>
      </w:r>
    </w:p>
    <w:p w14:paraId="1EA08F59">
      <w:pPr>
        <w:numPr>
          <w:ilvl w:val="0"/>
          <w:numId w:val="2"/>
        </w:numPr>
        <w:spacing w:line="360" w:lineRule="auto"/>
        <w:rPr>
          <w:rFonts w:hint="eastAsia" w:ascii="宋体" w:hAnsi="宋体" w:cs="宋体"/>
          <w:sz w:val="28"/>
          <w:szCs w:val="28"/>
        </w:rPr>
      </w:pPr>
      <w:r>
        <w:rPr>
          <w:rFonts w:hint="eastAsia" w:ascii="宋体" w:hAnsi="宋体" w:cs="宋体"/>
          <w:sz w:val="28"/>
          <w:szCs w:val="28"/>
        </w:rPr>
        <w:t>落实《政府采购促进中小企业发展管理办法》有关规定，中小企业须提供中小企业声明函。</w:t>
      </w:r>
    </w:p>
    <w:p w14:paraId="41DA7228">
      <w:pPr>
        <w:numPr>
          <w:ilvl w:val="0"/>
          <w:numId w:val="2"/>
        </w:numPr>
        <w:spacing w:line="360" w:lineRule="auto"/>
        <w:rPr>
          <w:rFonts w:hint="eastAsia" w:ascii="宋体" w:hAnsi="宋体" w:cs="宋体"/>
          <w:sz w:val="28"/>
          <w:szCs w:val="28"/>
        </w:rPr>
      </w:pPr>
      <w:r>
        <w:rPr>
          <w:rFonts w:hint="eastAsia" w:ascii="宋体" w:hAnsi="宋体" w:cs="宋体"/>
          <w:sz w:val="28"/>
          <w:szCs w:val="28"/>
        </w:rPr>
        <w:t>本项目不接受联合体竞价。</w:t>
      </w:r>
    </w:p>
    <w:p w14:paraId="385C0545">
      <w:pPr>
        <w:numPr>
          <w:ilvl w:val="0"/>
          <w:numId w:val="2"/>
        </w:numPr>
        <w:spacing w:line="360" w:lineRule="auto"/>
        <w:rPr>
          <w:rFonts w:hint="eastAsia" w:ascii="宋体" w:hAnsi="宋体" w:cs="宋体"/>
          <w:sz w:val="28"/>
          <w:szCs w:val="28"/>
        </w:rPr>
      </w:pPr>
      <w:r>
        <w:rPr>
          <w:rFonts w:hint="eastAsia" w:asciiTheme="minorEastAsia" w:hAnsiTheme="minorEastAsia" w:cstheme="minorEastAsia"/>
          <w:color w:val="000000" w:themeColor="text1"/>
          <w:sz w:val="28"/>
          <w:szCs w:val="28"/>
          <w14:textFill>
            <w14:solidFill>
              <w14:schemeClr w14:val="tx1"/>
            </w14:solidFill>
          </w14:textFill>
        </w:rPr>
        <w:t>报价供应商截止递交报价文件的时间为2024年10月11日下午3点，报价文件必须密封，否则一律拒收。报价供应商可快递寄送（必须用顺丰</w:t>
      </w:r>
      <w:r>
        <w:rPr>
          <w:rFonts w:hint="eastAsia" w:ascii="宋体" w:hAnsi="宋体" w:cs="宋体"/>
          <w:sz w:val="28"/>
          <w:szCs w:val="28"/>
        </w:rPr>
        <w:t>快递</w:t>
      </w:r>
      <w:r>
        <w:rPr>
          <w:rFonts w:hint="eastAsia" w:asciiTheme="minorEastAsia" w:hAnsiTheme="minorEastAsia" w:cstheme="minorEastAsia"/>
          <w:color w:val="000000" w:themeColor="text1"/>
          <w:sz w:val="28"/>
          <w:szCs w:val="28"/>
          <w14:textFill>
            <w14:solidFill>
              <w14:schemeClr w14:val="tx1"/>
            </w14:solidFill>
          </w14:textFill>
        </w:rPr>
        <w:t>）或现场递交。</w:t>
      </w:r>
    </w:p>
    <w:p w14:paraId="2409E1C5">
      <w:pPr>
        <w:numPr>
          <w:ilvl w:val="0"/>
          <w:numId w:val="2"/>
        </w:numPr>
        <w:spacing w:line="360" w:lineRule="auto"/>
        <w:rPr>
          <w:rFonts w:hint="eastAsia" w:asciiTheme="minorEastAsia" w:hAnsiTheme="minorEastAsia" w:cstheme="minorEastAsia"/>
          <w:color w:val="000000" w:themeColor="text1"/>
          <w:sz w:val="28"/>
          <w:szCs w:val="28"/>
          <w14:textFill>
            <w14:solidFill>
              <w14:schemeClr w14:val="tx1"/>
            </w14:solidFill>
          </w14:textFill>
        </w:rPr>
      </w:pPr>
      <w:r>
        <w:rPr>
          <w:rFonts w:hint="eastAsia" w:asciiTheme="minorEastAsia" w:hAnsiTheme="minorEastAsia" w:cstheme="minorEastAsia"/>
          <w:color w:val="000000" w:themeColor="text1"/>
          <w:sz w:val="28"/>
          <w:szCs w:val="28"/>
          <w14:textFill>
            <w14:solidFill>
              <w14:schemeClr w14:val="tx1"/>
            </w14:solidFill>
          </w14:textFill>
        </w:rPr>
        <w:t>投标联系人：刘老师  联系方式：19867570340</w:t>
      </w:r>
    </w:p>
    <w:p w14:paraId="0ACAAC81">
      <w:pPr>
        <w:spacing w:line="360" w:lineRule="auto"/>
        <w:ind w:firstLine="560" w:firstLineChars="200"/>
        <w:rPr>
          <w:sz w:val="28"/>
          <w:szCs w:val="28"/>
        </w:rPr>
      </w:pPr>
      <w:r>
        <w:rPr>
          <w:rFonts w:hint="eastAsia" w:asciiTheme="minorEastAsia" w:hAnsiTheme="minorEastAsia" w:cstheme="minorEastAsia"/>
          <w:color w:val="000000" w:themeColor="text1"/>
          <w:sz w:val="28"/>
          <w:szCs w:val="28"/>
          <w14:textFill>
            <w14:solidFill>
              <w14:schemeClr w14:val="tx1"/>
            </w14:solidFill>
          </w14:textFill>
        </w:rPr>
        <w:t>投标地址：广州市天河区广汕一路297号广东生态工程职业学院办公楼203室，可快递寄送（必须用顺丰快递）或现场递交。</w:t>
      </w:r>
    </w:p>
    <w:p w14:paraId="1FEF04A4">
      <w:pPr>
        <w:numPr>
          <w:ilvl w:val="0"/>
          <w:numId w:val="1"/>
        </w:numPr>
        <w:spacing w:line="360" w:lineRule="auto"/>
        <w:ind w:firstLine="562" w:firstLineChars="200"/>
        <w:rPr>
          <w:rFonts w:hint="eastAsia" w:ascii="宋体" w:hAnsi="宋体" w:cs="宋体"/>
          <w:b/>
          <w:bCs/>
          <w:sz w:val="28"/>
          <w:szCs w:val="28"/>
        </w:rPr>
      </w:pPr>
      <w:r>
        <w:rPr>
          <w:rFonts w:hint="eastAsia" w:ascii="宋体" w:hAnsi="宋体" w:cs="宋体"/>
          <w:b/>
          <w:bCs/>
          <w:sz w:val="28"/>
          <w:szCs w:val="28"/>
        </w:rPr>
        <w:t>项目内容及要求:</w:t>
      </w:r>
    </w:p>
    <w:tbl>
      <w:tblPr>
        <w:tblStyle w:val="12"/>
        <w:tblW w:w="5766" w:type="pct"/>
        <w:jc w:val="center"/>
        <w:tblLayout w:type="fixed"/>
        <w:tblCellMar>
          <w:top w:w="0" w:type="dxa"/>
          <w:left w:w="108" w:type="dxa"/>
          <w:bottom w:w="0" w:type="dxa"/>
          <w:right w:w="108" w:type="dxa"/>
        </w:tblCellMar>
      </w:tblPr>
      <w:tblGrid>
        <w:gridCol w:w="1400"/>
        <w:gridCol w:w="6933"/>
        <w:gridCol w:w="719"/>
        <w:gridCol w:w="776"/>
      </w:tblGrid>
      <w:tr w14:paraId="27FF4169">
        <w:tblPrEx>
          <w:tblCellMar>
            <w:top w:w="0" w:type="dxa"/>
            <w:left w:w="108" w:type="dxa"/>
            <w:bottom w:w="0" w:type="dxa"/>
            <w:right w:w="108" w:type="dxa"/>
          </w:tblCellMar>
        </w:tblPrEx>
        <w:trPr>
          <w:trHeight w:val="263" w:hRule="atLeast"/>
          <w:jc w:val="center"/>
        </w:trPr>
        <w:tc>
          <w:tcPr>
            <w:tcW w:w="7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CE0E27">
            <w:pPr>
              <w:widowControl/>
              <w:jc w:val="center"/>
              <w:textAlignment w:val="center"/>
              <w:rPr>
                <w:rFonts w:hint="eastAsia" w:ascii="宋体" w:hAnsi="宋体" w:eastAsia="宋体" w:cs="宋体"/>
                <w:b/>
                <w:bCs/>
                <w:color w:val="000000"/>
                <w:sz w:val="24"/>
              </w:rPr>
            </w:pPr>
            <w:r>
              <w:rPr>
                <w:rFonts w:hint="eastAsia" w:ascii="宋体" w:hAnsi="宋体" w:eastAsia="宋体" w:cs="宋体"/>
                <w:b/>
                <w:bCs/>
                <w:color w:val="000000"/>
                <w:kern w:val="0"/>
                <w:sz w:val="24"/>
                <w:lang w:bidi="ar"/>
              </w:rPr>
              <w:t>名称</w:t>
            </w:r>
          </w:p>
        </w:tc>
        <w:tc>
          <w:tcPr>
            <w:tcW w:w="35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BE0410">
            <w:pPr>
              <w:widowControl/>
              <w:jc w:val="center"/>
              <w:textAlignment w:val="center"/>
              <w:rPr>
                <w:rFonts w:hint="eastAsia" w:ascii="宋体" w:hAnsi="宋体" w:eastAsia="宋体" w:cs="宋体"/>
                <w:b/>
                <w:bCs/>
                <w:color w:val="000000"/>
                <w:sz w:val="24"/>
              </w:rPr>
            </w:pPr>
            <w:r>
              <w:rPr>
                <w:rFonts w:hint="eastAsia" w:ascii="宋体" w:hAnsi="宋体" w:eastAsia="宋体" w:cs="宋体"/>
                <w:b/>
                <w:bCs/>
                <w:color w:val="000000"/>
                <w:kern w:val="0"/>
                <w:sz w:val="24"/>
                <w:lang w:bidi="ar"/>
              </w:rPr>
              <w:t>具体参数</w:t>
            </w:r>
          </w:p>
        </w:tc>
        <w:tc>
          <w:tcPr>
            <w:tcW w:w="3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D10C4F">
            <w:pPr>
              <w:widowControl/>
              <w:jc w:val="center"/>
              <w:textAlignment w:val="center"/>
              <w:rPr>
                <w:rFonts w:hint="eastAsia" w:ascii="宋体" w:hAnsi="宋体" w:eastAsia="宋体" w:cs="宋体"/>
                <w:b/>
                <w:bCs/>
                <w:color w:val="000000"/>
                <w:sz w:val="24"/>
              </w:rPr>
            </w:pPr>
            <w:r>
              <w:rPr>
                <w:rFonts w:hint="eastAsia" w:ascii="宋体" w:hAnsi="宋体" w:eastAsia="宋体" w:cs="宋体"/>
                <w:b/>
                <w:bCs/>
                <w:color w:val="000000"/>
                <w:kern w:val="0"/>
                <w:sz w:val="24"/>
                <w:lang w:bidi="ar"/>
              </w:rPr>
              <w:t>数量</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EE423D">
            <w:pPr>
              <w:widowControl/>
              <w:jc w:val="center"/>
              <w:textAlignment w:val="center"/>
              <w:rPr>
                <w:rFonts w:hint="eastAsia" w:ascii="宋体" w:hAnsi="宋体" w:eastAsia="宋体" w:cs="宋体"/>
                <w:b/>
                <w:bCs/>
                <w:color w:val="000000"/>
                <w:sz w:val="24"/>
              </w:rPr>
            </w:pPr>
            <w:r>
              <w:rPr>
                <w:rFonts w:hint="eastAsia" w:ascii="宋体" w:hAnsi="宋体" w:eastAsia="宋体" w:cs="宋体"/>
                <w:b/>
                <w:bCs/>
                <w:color w:val="000000"/>
                <w:kern w:val="0"/>
                <w:sz w:val="24"/>
                <w:lang w:bidi="ar"/>
              </w:rPr>
              <w:t>单位</w:t>
            </w:r>
          </w:p>
        </w:tc>
      </w:tr>
      <w:tr w14:paraId="08EBA63C">
        <w:tblPrEx>
          <w:tblCellMar>
            <w:top w:w="0" w:type="dxa"/>
            <w:left w:w="108" w:type="dxa"/>
            <w:bottom w:w="0" w:type="dxa"/>
            <w:right w:w="108" w:type="dxa"/>
          </w:tblCellMar>
        </w:tblPrEx>
        <w:trPr>
          <w:trHeight w:val="7383" w:hRule="atLeast"/>
          <w:jc w:val="center"/>
        </w:trPr>
        <w:tc>
          <w:tcPr>
            <w:tcW w:w="7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16F0AB">
            <w:pPr>
              <w:widowControl/>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出入口一体机</w:t>
            </w:r>
          </w:p>
        </w:tc>
        <w:tc>
          <w:tcPr>
            <w:tcW w:w="35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CA14C9">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1. 记录存储容量：支持 20万条（脱机）</w:t>
            </w:r>
          </w:p>
          <w:p w14:paraId="688C41F4">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2. 用户存储容量：支持5万条（脱机）</w:t>
            </w:r>
          </w:p>
          <w:p w14:paraId="67CB0CCC">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3. 图片存储容量：支持500张（脱机）</w:t>
            </w:r>
          </w:p>
          <w:p w14:paraId="73B6E22C">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4. 内核CPU：四核高频处理器，2G内存，Linux操作系统</w:t>
            </w:r>
          </w:p>
          <w:p w14:paraId="4A0F99AF">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5. 通讯方式：支持 TCP/IP、4G（选配）， 有线/无线智能互切</w:t>
            </w:r>
          </w:p>
          <w:p w14:paraId="5387B766">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6. ▲显示屏：21.5寸工业级LCD显示屏，屏幕尺寸更大，交互体验更佳</w:t>
            </w:r>
          </w:p>
          <w:p w14:paraId="1893A251">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亮度最高支持1000LUX，行业领先，扫码效果更好，75°高温正常显示（投标人或投标产品厂商须提供相关内容的具有CMA、CNAS认证标识的第三方检测报告复印件，并加盖公章）</w:t>
            </w:r>
          </w:p>
          <w:p w14:paraId="72C6C43B">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7. ▲内置摄像头：500W高清摄像头，小尺寸、高集成（投标人或投标产品厂商须提供相关内容的具有CMA、CNAS认证标识的第三方检测报告复印件，并加盖公章）</w:t>
            </w:r>
          </w:p>
          <w:p w14:paraId="4E62FE39">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▲镜头：4.3mm定焦镜头(选配8mm)，传感器：1/2.8''超低照度CMOS传感器；</w:t>
            </w:r>
          </w:p>
          <w:p w14:paraId="46BFB509">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▲500万像素，最低照度支持0.001lux@F1.6，视频压缩格式：H.265/ H.264，最大分辨率：2560*1920；（投标人或投标产品厂商须提供相关内容的具有CMA、CNAS认证标识的第三方检测报告复印件，并加盖公章）</w:t>
            </w:r>
          </w:p>
          <w:p w14:paraId="4390FC6D">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支持主次码流设置、编码格式支持H.264/265，可变/固定码流，默认分辨率下默认码流6144kbps(5M)，</w:t>
            </w:r>
          </w:p>
          <w:p w14:paraId="2C30B97D">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▲500W超广角，识别纵深可达10米，对角成像角度≥110°轻松覆盖整个车道（投标人或投标产品厂商须提供相关内容的具有CMA、CNAS认证标识的第三方检测报告复印件，并加盖公章）</w:t>
            </w:r>
          </w:p>
          <w:p w14:paraId="6448CCB8">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▲摄像头数据传输方式：MIPI，数据高速传输、低功耗（投标人或投标产品厂商须提供相关内容的具有CMA、CNAS认证标识的第三方检测报告复印件，并加盖公章）</w:t>
            </w:r>
          </w:p>
          <w:p w14:paraId="57E2A6A7">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▲左右免调，上下±18°可调，适应各种特殊车道（投标人或投标产品厂商须提供相关内容的具有CMA、CNAS认证标识的第三方检测报告复印件，并加盖公章）</w:t>
            </w:r>
          </w:p>
          <w:p w14:paraId="2D203F84">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▲三防设计：三防摄像头模组，防水、防尘、防凝露遮雨罩伸缩可调节，保证雨雾天气精准识别（投标人或投标产品厂商须提供相关内容的具有CMA、CNAS认证标识的第三方检测报告复印件，并加盖公章）</w:t>
            </w:r>
          </w:p>
          <w:p w14:paraId="4931858B">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8. 广告显示： LCD支持广告播放，可播放png、bmp、jpg、jpeg格式图片，2~5秒轮播播放，可支持用户自定义，可支持0~20张图片</w:t>
            </w:r>
          </w:p>
          <w:p w14:paraId="0BDCF021">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9. 显示交互信息：可支持智能化、行业化、情景化的可自定义显示交互；</w:t>
            </w:r>
          </w:p>
          <w:p w14:paraId="35F4D22B">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10. 内置补光灯：</w:t>
            </w:r>
          </w:p>
          <w:p w14:paraId="0C2F8D99">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全自动补光，淡黄暖光色系，保证识别效果的同时，保护车主眼睛，不刺眼，不晃眼</w:t>
            </w:r>
          </w:p>
          <w:p w14:paraId="1757CF1F">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高亮LED灯10颗灯珠，功率6W，光敏开关控制（外置式）</w:t>
            </w:r>
          </w:p>
          <w:p w14:paraId="1EB19601">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补光距离：5m处光照大于50LUX</w:t>
            </w:r>
          </w:p>
          <w:p w14:paraId="1DD4719E">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（投标人或投标产品厂商须提供相关内容的具有CMA、CNAS认证标识的第三方检测报告复印件，并加盖公章）</w:t>
            </w:r>
          </w:p>
          <w:p w14:paraId="7A177849">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11. 语音提示： 自带TTS语音库，支持智能化、行业化、情景化的可自定义语音提示</w:t>
            </w:r>
          </w:p>
          <w:p w14:paraId="716E8A11">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12. 收费模式： 中央自助缴费、中央人工收费、出口自助缴费、出口人工缴费、手机缴费</w:t>
            </w:r>
          </w:p>
          <w:p w14:paraId="38B3B0A0">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13. 支付方式：扫码付</w:t>
            </w:r>
          </w:p>
          <w:p w14:paraId="608BCD1B">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14. 通行凭证：车牌、静态/动态二维码</w:t>
            </w:r>
          </w:p>
          <w:p w14:paraId="6E485C9F">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15. 双路协调：支持两路车牌识别相机</w:t>
            </w:r>
          </w:p>
          <w:p w14:paraId="69163B77">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16. 对接网络道闸： 支持IP/IO道闸，支持双道闸应用，支持单通道共用道闸车场模式</w:t>
            </w:r>
          </w:p>
          <w:p w14:paraId="14F4403D">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17. 支持视频/地感触发抓拍、识别，支持虚拟地感触发</w:t>
            </w:r>
          </w:p>
          <w:p w14:paraId="79512F3C">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18. 车牌识别率(白天): ≥99.9%</w:t>
            </w:r>
          </w:p>
          <w:p w14:paraId="3A8E1126">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19. 车牌识别率(夜晚/黑天/光线弱配合补光灯条件下): ≥99.7%</w:t>
            </w:r>
          </w:p>
          <w:p w14:paraId="7734BE7C">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20. 车牌颜色识别率: 全天候≥99%</w:t>
            </w:r>
          </w:p>
          <w:p w14:paraId="3D7C9987">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21. 车牌捕获率：视频流触发≥99.9%</w:t>
            </w:r>
          </w:p>
          <w:p w14:paraId="701A9AE5">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22. 车牌识别车速：≤40km/h</w:t>
            </w:r>
          </w:p>
          <w:p w14:paraId="47B52EA3">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23. 车牌识范围:全系车牌，含黑牌、黄牌、蓝牌、白牌、民用车牌、港澳牌、警牌、武警牌、军牌、民航、使馆牌、领事馆牌、新使馆牌、新领事馆牌、新能源牌的全汉字、字母、数字识别以及特殊个性车牌等</w:t>
            </w:r>
          </w:p>
          <w:p w14:paraId="0CCB0F57">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24. 相似字符识别：正确识别车牌中的汉字、字母及数字，相似的省份汉字、字母识别率可达99%以上</w:t>
            </w:r>
          </w:p>
          <w:p w14:paraId="65183433">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25. 支持识别车牌宽度：像数100-600范围内，可正常识别</w:t>
            </w:r>
          </w:p>
          <w:p w14:paraId="6C97802F">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26. 参数设置：支持识别区域、屏蔽区域、车牌识别大小、动态默认省份等设置</w:t>
            </w:r>
          </w:p>
          <w:p w14:paraId="0B1D8E5A">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27. ▲识别效果：最大识别角度78°，雨、雾识别率≥98%（投标人或投标产品厂商须提供相关内容的具有CMA、CNAS认证标识的第三方检测报告复印件，并加盖公章）</w:t>
            </w:r>
          </w:p>
          <w:p w14:paraId="07EACF2B">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28. ▲防伪能力：纸打车牌防伪率≥95%，手机车牌防伪率≥98%，（投标人或投标产品厂商须提供相关内容的具有CMA、CNAS认证标识的第三方检测报告复印件，并加盖公章）</w:t>
            </w:r>
          </w:p>
          <w:p w14:paraId="561A4823">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29. ▲车牌识别识速度（含防伪）≤0.5S；（投标人或投标产品厂商须提供相关内容的具有CMA、CNAS认证标识的第三方检测报告复印件，并加盖公章）</w:t>
            </w:r>
          </w:p>
          <w:p w14:paraId="6ADCF018">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30. ▲车牌识别识速度（不含防伪）≤0.3S；（投标人或投标产品厂商须提供相关内容的具有CMA、CNAS认证标识的第三方检测报告复印件，并加盖公章）</w:t>
            </w:r>
          </w:p>
        </w:tc>
        <w:tc>
          <w:tcPr>
            <w:tcW w:w="3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5C33D0">
            <w:pPr>
              <w:widowControl/>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4</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B96664">
            <w:pPr>
              <w:widowControl/>
              <w:jc w:val="center"/>
              <w:textAlignment w:val="center"/>
              <w:rPr>
                <w:rFonts w:hint="eastAsia" w:ascii="宋体" w:hAnsi="宋体" w:eastAsia="宋体" w:cs="宋体"/>
                <w:sz w:val="18"/>
                <w:szCs w:val="18"/>
              </w:rPr>
            </w:pPr>
            <w:r>
              <w:rPr>
                <w:rFonts w:hint="eastAsia" w:ascii="宋体" w:hAnsi="宋体" w:eastAsia="宋体" w:cs="宋体"/>
                <w:sz w:val="18"/>
                <w:szCs w:val="18"/>
              </w:rPr>
              <w:t>台</w:t>
            </w:r>
          </w:p>
        </w:tc>
      </w:tr>
      <w:tr w14:paraId="4E7D1D1E">
        <w:tblPrEx>
          <w:tblCellMar>
            <w:top w:w="0" w:type="dxa"/>
            <w:left w:w="108" w:type="dxa"/>
            <w:bottom w:w="0" w:type="dxa"/>
            <w:right w:w="108" w:type="dxa"/>
          </w:tblCellMar>
        </w:tblPrEx>
        <w:trPr>
          <w:trHeight w:val="772" w:hRule="atLeast"/>
          <w:jc w:val="center"/>
        </w:trPr>
        <w:tc>
          <w:tcPr>
            <w:tcW w:w="7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E0258B">
            <w:pPr>
              <w:widowControl/>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道闸主机</w:t>
            </w:r>
          </w:p>
        </w:tc>
        <w:tc>
          <w:tcPr>
            <w:tcW w:w="35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712F98">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1.电源电压：AC220 V±10%；</w:t>
            </w:r>
          </w:p>
          <w:p w14:paraId="333B87DA">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2.整机功率：≤150W；</w:t>
            </w:r>
          </w:p>
          <w:p w14:paraId="0DD7816D">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 xml:space="preserve">3.电机电压：DC 24V </w:t>
            </w:r>
          </w:p>
          <w:p w14:paraId="1F8CF42A">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4.▲杆型类型：直杆/曲杆/栅栏杆/发光杆（投标人或投标产品厂商须提供相关内容的具有CMA、CNAS认证标识的第三方检测报告复印件，并加盖公章）</w:t>
            </w:r>
          </w:p>
          <w:p w14:paraId="7D7FA042">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5.电机类型：直流无刷，保障闸杆运行精确定位，平稳、低噪音（投标人或投标产品厂商须提供相关内容的具有CMA、CNAS认证标识的第三方检测报告复印件，并加盖公章）</w:t>
            </w:r>
          </w:p>
          <w:p w14:paraId="2433FC3D">
            <w:pPr>
              <w:widowControl/>
              <w:jc w:val="left"/>
              <w:textAlignment w:val="center"/>
              <w:rPr>
                <w:rFonts w:hint="eastAsia" w:ascii="宋体" w:hAnsi="宋体" w:eastAsia="宋体" w:cs="宋体"/>
                <w:kern w:val="0"/>
                <w:sz w:val="18"/>
                <w:szCs w:val="18"/>
                <w:lang w:bidi="ar"/>
              </w:rPr>
            </w:pPr>
            <w:r>
              <w:rPr>
                <w:rFonts w:ascii="宋体" w:hAnsi="宋体" w:eastAsia="宋体" w:cs="宋体"/>
                <w:kern w:val="0"/>
                <w:sz w:val="18"/>
                <w:szCs w:val="18"/>
                <w:lang w:bidi="ar"/>
              </w:rPr>
              <w:t>6.</w:t>
            </w:r>
            <w:r>
              <w:rPr>
                <w:rFonts w:hint="eastAsia" w:ascii="宋体" w:hAnsi="宋体" w:eastAsia="宋体" w:cs="宋体"/>
                <w:kern w:val="0"/>
                <w:sz w:val="18"/>
                <w:szCs w:val="18"/>
                <w:lang w:bidi="ar"/>
              </w:rPr>
              <w:t>噪</w:t>
            </w:r>
            <w:r>
              <w:rPr>
                <w:rFonts w:hint="eastAsia" w:ascii="微软雅黑" w:hAnsi="微软雅黑" w:eastAsia="微软雅黑" w:cs="微软雅黑"/>
                <w:kern w:val="0"/>
                <w:sz w:val="18"/>
                <w:szCs w:val="18"/>
                <w:lang w:bidi="ar"/>
              </w:rPr>
              <w:t>⾳</w:t>
            </w:r>
            <w:r>
              <w:rPr>
                <w:rFonts w:hint="eastAsia" w:ascii="宋体" w:hAnsi="宋体" w:eastAsia="宋体" w:cs="宋体"/>
                <w:kern w:val="0"/>
                <w:sz w:val="18"/>
                <w:szCs w:val="18"/>
                <w:lang w:bidi="ar"/>
              </w:rPr>
              <w:t>要求：低于行业标准（≤</w:t>
            </w:r>
            <w:r>
              <w:rPr>
                <w:rFonts w:ascii="宋体" w:hAnsi="宋体" w:eastAsia="宋体" w:cs="宋体"/>
                <w:kern w:val="0"/>
                <w:sz w:val="18"/>
                <w:szCs w:val="18"/>
                <w:lang w:bidi="ar"/>
              </w:rPr>
              <w:t>70</w:t>
            </w:r>
            <w:r>
              <w:rPr>
                <w:rFonts w:hint="eastAsia" w:ascii="宋体" w:hAnsi="宋体" w:eastAsia="宋体" w:cs="宋体"/>
                <w:kern w:val="0"/>
                <w:sz w:val="18"/>
                <w:szCs w:val="18"/>
                <w:lang w:bidi="ar"/>
              </w:rPr>
              <w:t>分贝）</w:t>
            </w:r>
          </w:p>
          <w:p w14:paraId="7960782A">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7.机芯寿命：≥500万次</w:t>
            </w:r>
          </w:p>
          <w:p w14:paraId="04EED275">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8.开闸速度：1.2s~4.5s可调</w:t>
            </w:r>
          </w:p>
          <w:p w14:paraId="590C74E5">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9.▲效果灯光：暖光氛围灯+常亮LOGO（投标人或投标产品厂商须提供相关内容的具有CMA、CNAS认证标识的第三方检测报告复印件，并加盖公章）</w:t>
            </w:r>
          </w:p>
          <w:p w14:paraId="4DED5D57">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10.通信接口：TCP/IP、I/O</w:t>
            </w:r>
          </w:p>
          <w:p w14:paraId="2622BEE1">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11.闸杆方向：支持左右向可选</w:t>
            </w:r>
          </w:p>
          <w:p w14:paraId="1E018346">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12.标配地感，选配雷达或红外</w:t>
            </w:r>
          </w:p>
          <w:p w14:paraId="3B15DD7C">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13.车辆防砸：采用“车辆检测”、“数字防砸”、“开优先”三重防砸设计（投标人或投标产品厂商须提供相关内容的具有CMA、CNAS认证标识的第三方检测报告复印件，并加盖公章）</w:t>
            </w:r>
          </w:p>
          <w:p w14:paraId="50DEBBB5">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14.断电起落杆：机械锁死，需要打开机箱手动转动机械手柄</w:t>
            </w:r>
          </w:p>
          <w:p w14:paraId="0BD3EA8B">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15.道闸过流保护功能，防止电机堵转产生过大电流将电路板或电机损坏（投标人或投标产品厂商须提供相关内容的具有CMA、CNAS认证标识的第三方检测报告复印件，并加盖公章）</w:t>
            </w:r>
          </w:p>
          <w:p w14:paraId="5BD99D87">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16.采用“故障自检报警提示”技术，方使产品维护</w:t>
            </w:r>
          </w:p>
          <w:p w14:paraId="467D2560">
            <w:pPr>
              <w:widowControl/>
              <w:jc w:val="left"/>
              <w:textAlignment w:val="center"/>
              <w:rPr>
                <w:rFonts w:hint="eastAsia" w:ascii="宋体" w:hAnsi="宋体" w:eastAsia="宋体" w:cs="宋体"/>
                <w:kern w:val="0"/>
                <w:sz w:val="18"/>
                <w:szCs w:val="18"/>
                <w:lang w:bidi="ar"/>
              </w:rPr>
            </w:pPr>
            <w:r>
              <w:rPr>
                <w:rFonts w:ascii="宋体" w:hAnsi="宋体" w:eastAsia="宋体" w:cs="宋体"/>
                <w:kern w:val="0"/>
                <w:sz w:val="18"/>
                <w:szCs w:val="18"/>
                <w:lang w:bidi="ar"/>
              </w:rPr>
              <w:t>17.</w:t>
            </w:r>
            <w:r>
              <w:rPr>
                <w:rFonts w:hint="eastAsia" w:ascii="宋体" w:hAnsi="宋体" w:eastAsia="宋体" w:cs="宋体"/>
                <w:kern w:val="0"/>
                <w:sz w:val="18"/>
                <w:szCs w:val="18"/>
                <w:lang w:bidi="ar"/>
              </w:rPr>
              <w:t>工作温度：</w:t>
            </w:r>
            <w:r>
              <w:rPr>
                <w:rFonts w:ascii="宋体" w:hAnsi="宋体" w:eastAsia="宋体" w:cs="宋体"/>
                <w:kern w:val="0"/>
                <w:sz w:val="18"/>
                <w:szCs w:val="18"/>
                <w:lang w:bidi="ar"/>
              </w:rPr>
              <w:t>-25</w:t>
            </w:r>
            <w:r>
              <w:rPr>
                <w:rFonts w:hint="eastAsia" w:ascii="宋体" w:hAnsi="宋体" w:eastAsia="宋体" w:cs="宋体"/>
                <w:kern w:val="0"/>
                <w:sz w:val="18"/>
                <w:szCs w:val="18"/>
                <w:lang w:bidi="ar"/>
              </w:rPr>
              <w:t>℃</w:t>
            </w:r>
            <w:r>
              <w:rPr>
                <w:rFonts w:hint="eastAsia" w:ascii="微软雅黑" w:hAnsi="微软雅黑" w:eastAsia="微软雅黑" w:cs="微软雅黑"/>
                <w:kern w:val="0"/>
                <w:sz w:val="18"/>
                <w:szCs w:val="18"/>
                <w:lang w:bidi="ar"/>
              </w:rPr>
              <w:t>〜</w:t>
            </w:r>
            <w:r>
              <w:rPr>
                <w:rFonts w:ascii="宋体" w:hAnsi="宋体" w:eastAsia="宋体" w:cs="宋体"/>
                <w:kern w:val="0"/>
                <w:sz w:val="18"/>
                <w:szCs w:val="18"/>
                <w:lang w:bidi="ar"/>
              </w:rPr>
              <w:t>70</w:t>
            </w:r>
            <w:r>
              <w:rPr>
                <w:rFonts w:hint="eastAsia" w:ascii="宋体" w:hAnsi="宋体" w:eastAsia="宋体" w:cs="宋体"/>
                <w:kern w:val="0"/>
                <w:sz w:val="18"/>
                <w:szCs w:val="18"/>
                <w:lang w:bidi="ar"/>
              </w:rPr>
              <w:t>℃</w:t>
            </w:r>
          </w:p>
          <w:p w14:paraId="4A0FABD7">
            <w:pPr>
              <w:widowControl/>
              <w:jc w:val="left"/>
              <w:textAlignment w:val="center"/>
              <w:rPr>
                <w:rFonts w:hint="eastAsia" w:ascii="宋体" w:hAnsi="宋体" w:eastAsia="宋体" w:cs="宋体"/>
                <w:kern w:val="0"/>
                <w:sz w:val="18"/>
                <w:szCs w:val="18"/>
                <w:lang w:bidi="ar"/>
              </w:rPr>
            </w:pPr>
            <w:r>
              <w:rPr>
                <w:rFonts w:ascii="宋体" w:hAnsi="宋体" w:eastAsia="宋体" w:cs="宋体"/>
                <w:kern w:val="0"/>
                <w:sz w:val="18"/>
                <w:szCs w:val="18"/>
                <w:lang w:bidi="ar"/>
              </w:rPr>
              <w:t>18.</w:t>
            </w:r>
            <w:r>
              <w:rPr>
                <w:rFonts w:hint="eastAsia" w:ascii="宋体" w:hAnsi="宋体" w:eastAsia="宋体" w:cs="宋体"/>
                <w:kern w:val="0"/>
                <w:sz w:val="18"/>
                <w:szCs w:val="18"/>
                <w:lang w:bidi="ar"/>
              </w:rPr>
              <w:t>存储温度：</w:t>
            </w:r>
            <w:r>
              <w:rPr>
                <w:rFonts w:ascii="宋体" w:hAnsi="宋体" w:eastAsia="宋体" w:cs="宋体"/>
                <w:kern w:val="0"/>
                <w:sz w:val="18"/>
                <w:szCs w:val="18"/>
                <w:lang w:bidi="ar"/>
              </w:rPr>
              <w:t>-35</w:t>
            </w:r>
            <w:r>
              <w:rPr>
                <w:rFonts w:hint="eastAsia" w:ascii="宋体" w:hAnsi="宋体" w:eastAsia="宋体" w:cs="宋体"/>
                <w:kern w:val="0"/>
                <w:sz w:val="18"/>
                <w:szCs w:val="18"/>
                <w:lang w:bidi="ar"/>
              </w:rPr>
              <w:t>℃</w:t>
            </w:r>
            <w:r>
              <w:rPr>
                <w:rFonts w:hint="eastAsia" w:ascii="微软雅黑" w:hAnsi="微软雅黑" w:eastAsia="微软雅黑" w:cs="微软雅黑"/>
                <w:kern w:val="0"/>
                <w:sz w:val="18"/>
                <w:szCs w:val="18"/>
                <w:lang w:bidi="ar"/>
              </w:rPr>
              <w:t>〜</w:t>
            </w:r>
            <w:r>
              <w:rPr>
                <w:rFonts w:ascii="宋体" w:hAnsi="宋体" w:eastAsia="宋体" w:cs="宋体"/>
                <w:kern w:val="0"/>
                <w:sz w:val="18"/>
                <w:szCs w:val="18"/>
                <w:lang w:bidi="ar"/>
              </w:rPr>
              <w:t>75</w:t>
            </w:r>
            <w:r>
              <w:rPr>
                <w:rFonts w:hint="eastAsia" w:ascii="宋体" w:hAnsi="宋体" w:eastAsia="宋体" w:cs="宋体"/>
                <w:kern w:val="0"/>
                <w:sz w:val="18"/>
                <w:szCs w:val="18"/>
                <w:lang w:bidi="ar"/>
              </w:rPr>
              <w:t>℃</w:t>
            </w:r>
          </w:p>
          <w:p w14:paraId="56403A62">
            <w:pPr>
              <w:widowControl/>
              <w:jc w:val="left"/>
              <w:textAlignment w:val="center"/>
              <w:rPr>
                <w:rFonts w:hint="eastAsia" w:ascii="宋体" w:hAnsi="宋体" w:eastAsia="宋体" w:cs="宋体"/>
                <w:kern w:val="0"/>
                <w:sz w:val="18"/>
                <w:szCs w:val="18"/>
                <w:lang w:bidi="ar"/>
              </w:rPr>
            </w:pPr>
            <w:r>
              <w:rPr>
                <w:rFonts w:ascii="宋体" w:hAnsi="宋体" w:eastAsia="宋体" w:cs="宋体"/>
                <w:kern w:val="0"/>
                <w:sz w:val="18"/>
                <w:szCs w:val="18"/>
                <w:lang w:bidi="ar"/>
              </w:rPr>
              <w:t>19.</w:t>
            </w:r>
            <w:r>
              <w:rPr>
                <w:rFonts w:hint="eastAsia" w:ascii="宋体" w:hAnsi="宋体" w:eastAsia="宋体" w:cs="宋体"/>
                <w:kern w:val="0"/>
                <w:sz w:val="18"/>
                <w:szCs w:val="18"/>
                <w:lang w:bidi="ar"/>
              </w:rPr>
              <w:t>工作湿度：≤</w:t>
            </w:r>
            <w:r>
              <w:rPr>
                <w:rFonts w:ascii="宋体" w:hAnsi="宋体" w:eastAsia="宋体" w:cs="宋体"/>
                <w:kern w:val="0"/>
                <w:sz w:val="18"/>
                <w:szCs w:val="18"/>
                <w:lang w:bidi="ar"/>
              </w:rPr>
              <w:t>90%</w:t>
            </w:r>
            <w:r>
              <w:rPr>
                <w:rFonts w:hint="eastAsia" w:ascii="宋体" w:hAnsi="宋体" w:eastAsia="宋体" w:cs="宋体"/>
                <w:kern w:val="0"/>
                <w:sz w:val="18"/>
                <w:szCs w:val="18"/>
                <w:lang w:bidi="ar"/>
              </w:rPr>
              <w:t>，</w:t>
            </w:r>
            <w:r>
              <w:rPr>
                <w:rFonts w:hint="eastAsia" w:ascii="微软雅黑" w:hAnsi="微软雅黑" w:eastAsia="微软雅黑" w:cs="微软雅黑"/>
                <w:kern w:val="0"/>
                <w:sz w:val="18"/>
                <w:szCs w:val="18"/>
                <w:lang w:bidi="ar"/>
              </w:rPr>
              <w:t>⽆</w:t>
            </w:r>
            <w:r>
              <w:rPr>
                <w:rFonts w:hint="eastAsia" w:ascii="宋体" w:hAnsi="宋体" w:eastAsia="宋体" w:cs="宋体"/>
                <w:kern w:val="0"/>
                <w:sz w:val="18"/>
                <w:szCs w:val="18"/>
                <w:lang w:bidi="ar"/>
              </w:rPr>
              <w:t>凝露</w:t>
            </w:r>
            <w:r>
              <w:rPr>
                <w:rFonts w:ascii="宋体" w:hAnsi="宋体" w:eastAsia="宋体" w:cs="宋体"/>
                <w:kern w:val="0"/>
                <w:sz w:val="18"/>
                <w:szCs w:val="18"/>
                <w:lang w:bidi="ar"/>
              </w:rPr>
              <w:t xml:space="preserve"> </w:t>
            </w:r>
            <w:r>
              <w:rPr>
                <w:rFonts w:hint="eastAsia" w:ascii="宋体" w:hAnsi="宋体" w:eastAsia="宋体" w:cs="宋体"/>
                <w:kern w:val="0"/>
                <w:sz w:val="18"/>
                <w:szCs w:val="18"/>
                <w:lang w:bidi="ar"/>
              </w:rPr>
              <w:t>（常温下）</w:t>
            </w:r>
          </w:p>
          <w:p w14:paraId="790CB54A">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20.防护等级：IP54</w:t>
            </w:r>
          </w:p>
          <w:p w14:paraId="7793C31A">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21.外观尺寸：1090*325*286mm</w:t>
            </w:r>
          </w:p>
          <w:p w14:paraId="7AB0B9F2">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22.外观颜色：玫瑰金+荣耀黑</w:t>
            </w:r>
          </w:p>
          <w:p w14:paraId="68DA82B4">
            <w:pPr>
              <w:widowControl/>
              <w:jc w:val="left"/>
              <w:textAlignment w:val="center"/>
              <w:rPr>
                <w:rFonts w:hint="eastAsia" w:ascii="宋体" w:hAnsi="宋体" w:eastAsia="宋体" w:cs="宋体"/>
                <w:kern w:val="0"/>
                <w:sz w:val="18"/>
                <w:szCs w:val="18"/>
                <w:lang w:bidi="ar"/>
              </w:rPr>
            </w:pPr>
            <w:r>
              <w:rPr>
                <w:rFonts w:ascii="宋体" w:hAnsi="宋体" w:eastAsia="宋体" w:cs="宋体"/>
                <w:kern w:val="0"/>
                <w:sz w:val="18"/>
                <w:szCs w:val="18"/>
                <w:lang w:bidi="ar"/>
              </w:rPr>
              <w:t>23.</w:t>
            </w:r>
            <w:r>
              <w:rPr>
                <w:rFonts w:hint="eastAsia" w:ascii="宋体" w:hAnsi="宋体" w:eastAsia="宋体" w:cs="宋体"/>
                <w:kern w:val="0"/>
                <w:sz w:val="18"/>
                <w:szCs w:val="18"/>
                <w:lang w:bidi="ar"/>
              </w:rPr>
              <w:t>机箱材质：机</w:t>
            </w:r>
            <w:r>
              <w:rPr>
                <w:rFonts w:hint="eastAsia" w:ascii="微软雅黑" w:hAnsi="微软雅黑" w:eastAsia="微软雅黑" w:cs="微软雅黑"/>
                <w:kern w:val="0"/>
                <w:sz w:val="18"/>
                <w:szCs w:val="18"/>
                <w:lang w:bidi="ar"/>
              </w:rPr>
              <w:t>⾝</w:t>
            </w:r>
            <w:r>
              <w:rPr>
                <w:rFonts w:hint="eastAsia" w:ascii="宋体" w:hAnsi="宋体" w:eastAsia="宋体" w:cs="宋体"/>
                <w:kern w:val="0"/>
                <w:sz w:val="18"/>
                <w:szCs w:val="18"/>
                <w:lang w:bidi="ar"/>
              </w:rPr>
              <w:t>主体采</w:t>
            </w:r>
            <w:r>
              <w:rPr>
                <w:rFonts w:hint="eastAsia" w:ascii="微软雅黑" w:hAnsi="微软雅黑" w:eastAsia="微软雅黑" w:cs="微软雅黑"/>
                <w:kern w:val="0"/>
                <w:sz w:val="18"/>
                <w:szCs w:val="18"/>
                <w:lang w:bidi="ar"/>
              </w:rPr>
              <w:t>⽤</w:t>
            </w:r>
            <w:r>
              <w:rPr>
                <w:rFonts w:hint="eastAsia" w:ascii="宋体" w:hAnsi="宋体" w:eastAsia="宋体" w:cs="宋体"/>
                <w:kern w:val="0"/>
                <w:sz w:val="18"/>
                <w:szCs w:val="18"/>
                <w:lang w:bidi="ar"/>
              </w:rPr>
              <w:t>厚度</w:t>
            </w:r>
            <w:r>
              <w:rPr>
                <w:rFonts w:ascii="宋体" w:hAnsi="宋体" w:eastAsia="宋体" w:cs="宋体"/>
                <w:kern w:val="0"/>
                <w:sz w:val="18"/>
                <w:szCs w:val="18"/>
                <w:lang w:bidi="ar"/>
              </w:rPr>
              <w:t>1.5mm</w:t>
            </w:r>
            <w:r>
              <w:rPr>
                <w:rFonts w:hint="eastAsia" w:ascii="宋体" w:hAnsi="宋体" w:eastAsia="宋体" w:cs="宋体"/>
                <w:kern w:val="0"/>
                <w:sz w:val="18"/>
                <w:szCs w:val="18"/>
                <w:lang w:bidi="ar"/>
              </w:rPr>
              <w:t>的</w:t>
            </w:r>
            <w:r>
              <w:rPr>
                <w:rFonts w:hint="eastAsia" w:ascii="微软雅黑" w:hAnsi="微软雅黑" w:eastAsia="微软雅黑" w:cs="微软雅黑"/>
                <w:kern w:val="0"/>
                <w:sz w:val="18"/>
                <w:szCs w:val="18"/>
                <w:lang w:bidi="ar"/>
              </w:rPr>
              <w:t>⾼</w:t>
            </w:r>
            <w:r>
              <w:rPr>
                <w:rFonts w:hint="eastAsia" w:ascii="宋体" w:hAnsi="宋体" w:eastAsia="宋体" w:cs="宋体"/>
                <w:kern w:val="0"/>
                <w:sz w:val="18"/>
                <w:szCs w:val="18"/>
                <w:lang w:bidi="ar"/>
              </w:rPr>
              <w:t>强度碳钢板材</w:t>
            </w:r>
            <w:r>
              <w:rPr>
                <w:rFonts w:ascii="宋体" w:hAnsi="宋体" w:eastAsia="宋体" w:cs="宋体"/>
                <w:kern w:val="0"/>
                <w:sz w:val="18"/>
                <w:szCs w:val="18"/>
                <w:lang w:bidi="ar"/>
              </w:rPr>
              <w:t xml:space="preserve"> </w:t>
            </w:r>
            <w:r>
              <w:rPr>
                <w:rFonts w:hint="eastAsia" w:ascii="宋体" w:hAnsi="宋体" w:eastAsia="宋体" w:cs="宋体"/>
                <w:kern w:val="0"/>
                <w:sz w:val="18"/>
                <w:szCs w:val="18"/>
                <w:lang w:bidi="ar"/>
              </w:rPr>
              <w:t>（投标人或投标产品厂商须提供相关内容的具有</w:t>
            </w:r>
            <w:r>
              <w:rPr>
                <w:rFonts w:ascii="宋体" w:hAnsi="宋体" w:eastAsia="宋体" w:cs="宋体"/>
                <w:kern w:val="0"/>
                <w:sz w:val="18"/>
                <w:szCs w:val="18"/>
                <w:lang w:bidi="ar"/>
              </w:rPr>
              <w:t>CMA</w:t>
            </w:r>
            <w:r>
              <w:rPr>
                <w:rFonts w:hint="eastAsia" w:ascii="宋体" w:hAnsi="宋体" w:eastAsia="宋体" w:cs="宋体"/>
                <w:kern w:val="0"/>
                <w:sz w:val="18"/>
                <w:szCs w:val="18"/>
                <w:lang w:bidi="ar"/>
              </w:rPr>
              <w:t>、</w:t>
            </w:r>
            <w:r>
              <w:rPr>
                <w:rFonts w:ascii="宋体" w:hAnsi="宋体" w:eastAsia="宋体" w:cs="宋体"/>
                <w:kern w:val="0"/>
                <w:sz w:val="18"/>
                <w:szCs w:val="18"/>
                <w:lang w:bidi="ar"/>
              </w:rPr>
              <w:t>CNAS</w:t>
            </w:r>
            <w:r>
              <w:rPr>
                <w:rFonts w:hint="eastAsia" w:ascii="宋体" w:hAnsi="宋体" w:eastAsia="宋体" w:cs="宋体"/>
                <w:kern w:val="0"/>
                <w:sz w:val="18"/>
                <w:szCs w:val="18"/>
                <w:lang w:bidi="ar"/>
              </w:rPr>
              <w:t>认证标识的第三方检测报告复印件，并加盖公章）</w:t>
            </w:r>
          </w:p>
          <w:p w14:paraId="21D53518">
            <w:pPr>
              <w:widowControl/>
              <w:jc w:val="left"/>
              <w:textAlignment w:val="center"/>
              <w:rPr>
                <w:rFonts w:hint="eastAsia" w:ascii="宋体" w:hAnsi="宋体" w:eastAsia="宋体" w:cs="宋体"/>
                <w:kern w:val="0"/>
                <w:sz w:val="18"/>
                <w:szCs w:val="18"/>
                <w:lang w:bidi="ar"/>
              </w:rPr>
            </w:pPr>
            <w:r>
              <w:rPr>
                <w:rFonts w:ascii="宋体" w:hAnsi="宋体" w:eastAsia="宋体" w:cs="宋体"/>
                <w:kern w:val="0"/>
                <w:sz w:val="18"/>
                <w:szCs w:val="18"/>
                <w:lang w:bidi="ar"/>
              </w:rPr>
              <w:t>24.</w:t>
            </w:r>
            <w:r>
              <w:rPr>
                <w:rFonts w:hint="eastAsia" w:ascii="宋体" w:hAnsi="宋体" w:eastAsia="宋体" w:cs="宋体"/>
                <w:kern w:val="0"/>
                <w:sz w:val="18"/>
                <w:szCs w:val="18"/>
                <w:lang w:bidi="ar"/>
              </w:rPr>
              <w:t>闸杆中</w:t>
            </w:r>
            <w:r>
              <w:rPr>
                <w:rFonts w:hint="eastAsia" w:ascii="微软雅黑" w:hAnsi="微软雅黑" w:eastAsia="微软雅黑" w:cs="微软雅黑"/>
                <w:kern w:val="0"/>
                <w:sz w:val="18"/>
                <w:szCs w:val="18"/>
                <w:lang w:bidi="ar"/>
              </w:rPr>
              <w:t>⼼⾼</w:t>
            </w:r>
            <w:r>
              <w:rPr>
                <w:rFonts w:hint="eastAsia" w:ascii="宋体" w:hAnsi="宋体" w:eastAsia="宋体" w:cs="宋体"/>
                <w:kern w:val="0"/>
                <w:sz w:val="18"/>
                <w:szCs w:val="18"/>
                <w:lang w:bidi="ar"/>
              </w:rPr>
              <w:t>度：</w:t>
            </w:r>
            <w:r>
              <w:rPr>
                <w:rFonts w:ascii="宋体" w:hAnsi="宋体" w:eastAsia="宋体" w:cs="宋体"/>
                <w:kern w:val="0"/>
                <w:sz w:val="18"/>
                <w:szCs w:val="18"/>
                <w:lang w:bidi="ar"/>
              </w:rPr>
              <w:t>930mm</w:t>
            </w:r>
            <w:r>
              <w:rPr>
                <w:rFonts w:hint="eastAsia" w:ascii="宋体" w:hAnsi="宋体" w:eastAsia="宋体" w:cs="宋体"/>
                <w:kern w:val="0"/>
                <w:sz w:val="18"/>
                <w:szCs w:val="18"/>
                <w:lang w:bidi="ar"/>
              </w:rPr>
              <w:t>（闸杆转轴到机箱底部距离</w:t>
            </w:r>
          </w:p>
          <w:p w14:paraId="697AAC50">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25.▲设备具备开优先功能，当栏杆处于非放行状态而收到放行指令时，应立即运行到放行状态。检测车辆的信号从有车到无车时，能控制驱动部分驱动栏杆运行到禁行状态。栏杆完成禁行状态到放行状态转换、或完成放行状态到禁行状态转换的单程运行时间可调（投标人或投标产品厂商须提供相关内容的具有CMA、CNAS认证标识的第三方检测报告复印件，并加盖公章）</w:t>
            </w:r>
          </w:p>
        </w:tc>
        <w:tc>
          <w:tcPr>
            <w:tcW w:w="3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BA8F1E">
            <w:pPr>
              <w:widowControl/>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4</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AC8687">
            <w:pPr>
              <w:widowControl/>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台</w:t>
            </w:r>
          </w:p>
        </w:tc>
      </w:tr>
      <w:tr w14:paraId="116E3FF2">
        <w:tblPrEx>
          <w:tblCellMar>
            <w:top w:w="0" w:type="dxa"/>
            <w:left w:w="108" w:type="dxa"/>
            <w:bottom w:w="0" w:type="dxa"/>
            <w:right w:w="108" w:type="dxa"/>
          </w:tblCellMar>
        </w:tblPrEx>
        <w:trPr>
          <w:trHeight w:val="252" w:hRule="atLeast"/>
          <w:jc w:val="center"/>
        </w:trPr>
        <w:tc>
          <w:tcPr>
            <w:tcW w:w="7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0FEFF6">
            <w:pPr>
              <w:widowControl/>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道闸栅栏杆</w:t>
            </w:r>
          </w:p>
        </w:tc>
        <w:tc>
          <w:tcPr>
            <w:tcW w:w="35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99F570">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IV型轻型栅栏杆（标准）</w:t>
            </w:r>
          </w:p>
          <w:p w14:paraId="45A25DE2">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闸杆总长度：4米</w:t>
            </w:r>
          </w:p>
          <w:p w14:paraId="33383B58">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方向：右向</w:t>
            </w:r>
          </w:p>
        </w:tc>
        <w:tc>
          <w:tcPr>
            <w:tcW w:w="3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7D54A3">
            <w:pPr>
              <w:widowControl/>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4</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9777C7">
            <w:pPr>
              <w:widowControl/>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副</w:t>
            </w:r>
          </w:p>
        </w:tc>
      </w:tr>
      <w:tr w14:paraId="74CC7182">
        <w:tblPrEx>
          <w:tblCellMar>
            <w:top w:w="0" w:type="dxa"/>
            <w:left w:w="108" w:type="dxa"/>
            <w:bottom w:w="0" w:type="dxa"/>
            <w:right w:w="108" w:type="dxa"/>
          </w:tblCellMar>
        </w:tblPrEx>
        <w:trPr>
          <w:trHeight w:val="582" w:hRule="atLeast"/>
          <w:jc w:val="center"/>
        </w:trPr>
        <w:tc>
          <w:tcPr>
            <w:tcW w:w="7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8602F7">
            <w:pPr>
              <w:widowControl/>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防砸雷达</w:t>
            </w:r>
          </w:p>
        </w:tc>
        <w:tc>
          <w:tcPr>
            <w:tcW w:w="35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E06B53">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防砸雷达</w:t>
            </w:r>
          </w:p>
        </w:tc>
        <w:tc>
          <w:tcPr>
            <w:tcW w:w="3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26256F">
            <w:pPr>
              <w:widowControl/>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4</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B62D83">
            <w:pPr>
              <w:widowControl/>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个</w:t>
            </w:r>
          </w:p>
        </w:tc>
      </w:tr>
      <w:tr w14:paraId="19839958">
        <w:tblPrEx>
          <w:tblCellMar>
            <w:top w:w="0" w:type="dxa"/>
            <w:left w:w="108" w:type="dxa"/>
            <w:bottom w:w="0" w:type="dxa"/>
            <w:right w:w="108" w:type="dxa"/>
          </w:tblCellMar>
        </w:tblPrEx>
        <w:trPr>
          <w:trHeight w:val="469" w:hRule="atLeast"/>
          <w:jc w:val="center"/>
        </w:trPr>
        <w:tc>
          <w:tcPr>
            <w:tcW w:w="7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47AFAE">
            <w:pPr>
              <w:widowControl/>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地感处理器</w:t>
            </w:r>
          </w:p>
        </w:tc>
        <w:tc>
          <w:tcPr>
            <w:tcW w:w="35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84A62F">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地感处理器</w:t>
            </w:r>
          </w:p>
          <w:p w14:paraId="33DBA927">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地感底座</w:t>
            </w:r>
          </w:p>
        </w:tc>
        <w:tc>
          <w:tcPr>
            <w:tcW w:w="3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5B413E">
            <w:pPr>
              <w:widowControl/>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4</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B07805">
            <w:pPr>
              <w:widowControl/>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个</w:t>
            </w:r>
          </w:p>
        </w:tc>
      </w:tr>
      <w:tr w14:paraId="702603D1">
        <w:tblPrEx>
          <w:tblCellMar>
            <w:top w:w="0" w:type="dxa"/>
            <w:left w:w="108" w:type="dxa"/>
            <w:bottom w:w="0" w:type="dxa"/>
            <w:right w:w="108" w:type="dxa"/>
          </w:tblCellMar>
        </w:tblPrEx>
        <w:trPr>
          <w:trHeight w:val="469" w:hRule="atLeast"/>
          <w:jc w:val="center"/>
        </w:trPr>
        <w:tc>
          <w:tcPr>
            <w:tcW w:w="7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72FF36">
            <w:pPr>
              <w:widowControl/>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车辆管控及收费管理平台</w:t>
            </w:r>
          </w:p>
        </w:tc>
        <w:tc>
          <w:tcPr>
            <w:tcW w:w="35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55C02E">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1、系统定义</w:t>
            </w:r>
          </w:p>
          <w:p w14:paraId="38F41B41">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待选型及开发系统定义为：广东生态工程职业学院智慧通行管理平台，本文件中无特殊说明，后续简称为“平台”。</w:t>
            </w:r>
          </w:p>
          <w:p w14:paraId="12851BBC">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2、业务要求</w:t>
            </w:r>
          </w:p>
          <w:p w14:paraId="43C06D57">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平台详细功能需求请参见功能需求列表附件，原则上需要满足所有功能需求。除基础功能需求外，平台还需要具备下述特点，以提升平台业务管理能力和易用性。</w:t>
            </w:r>
          </w:p>
          <w:p w14:paraId="36C2DDAF">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2.1平台必须采用统一操作门户</w:t>
            </w:r>
          </w:p>
          <w:p w14:paraId="15A1E496">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面向所有用户的界面操作必须采用统一平台和门户，不允许同时部署多个业务平台门户。保障所有用户在一个平台上进行操作，可以通过灵活角色权限配置，控制不同用户使用不同功能。</w:t>
            </w:r>
          </w:p>
          <w:p w14:paraId="4A8E30FD">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2.2平台必须全面支持集中管控模式</w:t>
            </w:r>
          </w:p>
          <w:p w14:paraId="3046E23D">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无论从物业项目管控范围还是业务管控范围，平台都必须支持集中管控。平台要求能实现按物业管理层级来集中管理公司所有物业项目，并且在业务上要求同时支持车场、门禁和访客等核心业务的集中管控，平台还可以根据后续业务管理需要，灵活扩充其他业务。</w:t>
            </w:r>
          </w:p>
          <w:p w14:paraId="6ABCC53E">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2.3平台要求支持不同物业项目可开通不同业务管理服务</w:t>
            </w:r>
          </w:p>
          <w:p w14:paraId="026FD759">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考虑到不同物业项目的实际管理情况，有些物业项目只对车场进行管理，有些项目只对门禁进行管理，因此平台要求支持不同物业项目可以开通不同业务管理服务。并且可以根据物业项目后续需求，随时开通和关闭某个业务服务。</w:t>
            </w:r>
          </w:p>
          <w:p w14:paraId="30EB3746">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2.4平台人员信息必须实现一次采集、多业务共用</w:t>
            </w:r>
          </w:p>
          <w:p w14:paraId="20821F20">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平台包含的所有管理业务中，人员信息必须实现一次采集、多业务共用。人员信息至少包含但不限于：人员基础资料、车辆信息、人员生物凭证（至少包含：人脸、指纹等）、人员外部凭证（卡凭证、二维码、密码凭证等）和车辆凭证、访客凭证等。不可出现不同业务模块需要单独管理各自人员信息，导致人员信息多次采集。</w:t>
            </w:r>
          </w:p>
          <w:p w14:paraId="5D94A8DE">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2.5平台停车业务要求实现路内路外一体化（针对有路内的客户）</w:t>
            </w:r>
          </w:p>
          <w:p w14:paraId="43D7C61C">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平台停车业务模块要能实现公司所有路内泊位资源和路外车场资源的深度整合和统一管理。不仅要求在路内路外停车实现数据整合，还必须实现路内停车和路外车场在管理功能上的一体化。</w:t>
            </w:r>
          </w:p>
          <w:p w14:paraId="35DC0FCF">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2.6平台要求能对所有接入车场进行全面管控</w:t>
            </w:r>
          </w:p>
          <w:p w14:paraId="70C8A585">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平台除了能对所有接入车场的基础数据和业务数据进行汇聚外，还要求能直接管理所有车场的关键业务配置和关键业务操作。至少包含但不限于：车场月卡统一授权、车场黑白名单管理、车位管理、场内车管理、车场月卡和临停收费标准管理等。</w:t>
            </w:r>
          </w:p>
          <w:p w14:paraId="0C0FEB39">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▲2.7平台要求具有强大的聚合支付能力，集成主流的在线支付渠道</w:t>
            </w:r>
          </w:p>
          <w:p w14:paraId="7D9BE0ED">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平台要求具有强大的聚合支付能力，除了目前主流的微信、支付宝等第三方支付外，还需要能根据公司财务合作需求，灵活扩充各银行在线支付渠道。除在线支付方式外，还要求接入主流无感支付服务商。</w:t>
            </w:r>
          </w:p>
          <w:p w14:paraId="406DA9A4">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▲2.8平台要求具有完整的清结算和对账能力，实现业财一体化</w:t>
            </w:r>
          </w:p>
          <w:p w14:paraId="651A7FDB">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要求平台能灵活配置每个车场在线支付的资金账户，可以实现一个车场一个资金账户，也可以实现多个车场共用一个资金账户。并且平台必须具有完整的清结算和对账能力，能实现每个车场所有在线支付渠道的自动对账和清结算，真正实现车场管理的业财一体化。</w:t>
            </w:r>
          </w:p>
          <w:p w14:paraId="6873A2B4">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2.9平台要求对所有接入项目和设备进行全方位智能监控</w:t>
            </w:r>
          </w:p>
          <w:p w14:paraId="30B95F90">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平台要求对所有接入项目和设备进行全方面智能监控，一旦项目和设备出现离线或者故障时，能及时反馈到平台。并且平台可以配置每个项目的监控处理人员，当监控信息反馈到平台后，平台能通过短信方式及时通知对应的处理人员，并形成异常处理工单进行全生命周期跟踪，保障异常得到及时处理。</w:t>
            </w:r>
          </w:p>
          <w:p w14:paraId="310BCA8F">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2.10平台优惠打折服务需要支持多级商家模式</w:t>
            </w:r>
          </w:p>
          <w:p w14:paraId="6FC6B9AD">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针对商业项目，平台要求具有完整的商业优惠打折服务，让车场和商家能为车主提供停车优惠券和减免打折服务。优惠打折服务必须支持多级商家管理，能灵活支持车场和商家的二级优惠打折管理模式，也能支持集团物业、车场和商家的多级优惠打折管理方案。</w:t>
            </w:r>
          </w:p>
          <w:p w14:paraId="72D2B2CF">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▲2.11平台需要具备车场增值运营管理能力</w:t>
            </w:r>
          </w:p>
          <w:p w14:paraId="5A31DACA">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平台需要具有线上广告运营能力，车场运营人员可以通过平台向特定车场发布在线广告，实现车主进出车场时，能收到车辆进出消息和广告推送内容，广告推送内容要求支持纯文字和H5页面，内容可以由运营人员自行设计。后续平台还需要逐步扩展共享车位、错峰停车等车位级增值运营服务。</w:t>
            </w:r>
          </w:p>
          <w:p w14:paraId="1309AB8C">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2.12平台需要具备云岗亭托管能力，实现车场无人化值守</w:t>
            </w:r>
          </w:p>
          <w:p w14:paraId="030C7125">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考虑到逐步实现所有车场的无人化值守，平台必须具备云端岗亭托管能力，实现车主出现异常情况而无法正常通行时，云端岗亭坐席能远程为车主解决通行问题。云端岗亭坐席要求具有车辆进出图片、车牌识别信息、音视频双向对讲、车道环境摄像监控、远程开闸和关闸等基础能力，并且能调取全面的车辆相关信息，辅助云端坐席人员做出开闸决策。云端岗亭坐席必须实现车辆通行信息、音视频双向对讲、车道环境监控的联动，在一个处理界面能查看和操作这些功能。</w:t>
            </w:r>
          </w:p>
          <w:p w14:paraId="54F39DF8">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★2.13平台需要实现车行、人行和访客的统一管控和集中授权</w:t>
            </w:r>
          </w:p>
          <w:p w14:paraId="0D8FA6A3">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针对需要同时对车行、人行和访客进行管控的物业项目，平台需要实现统一管控和集中授权。要求对人员信息进行统一管理，实现一次采集、信息共用；并且能针对一个人员实现车辆和门禁的集中授权。</w:t>
            </w:r>
          </w:p>
          <w:p w14:paraId="1B27FD46">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平台需要支持对接校园访客程序进行线上预约即可放行（供应商提供承诺函，格式自拟）</w:t>
            </w:r>
          </w:p>
          <w:p w14:paraId="690C34AD">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2.14平台需要实现门禁跨物业项目集中授权</w:t>
            </w:r>
          </w:p>
          <w:p w14:paraId="17B25E14">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针对多物业项目进行门禁集中管理时，平台需要实现跨物业项目的门禁集中授权。当一个人员可以同时通行多个物业项目的不同门禁区域时，要求平台只进行一次授权即可覆盖所有物业项目的门禁区域。</w:t>
            </w:r>
          </w:p>
          <w:p w14:paraId="53DE2C1A">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▲2.15平台要求访客管理能同时支持车辆和人员访客</w:t>
            </w:r>
          </w:p>
          <w:p w14:paraId="5772DC4D">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针对访客管理，平台要求能同时支持车辆和人员访客统一管理，在访客邀请和预约时，可以同时提交访客车辆信息和访客人员信息。平台能智能控制车场管理和门禁管理系统进行访客车辆和人员的智能识别和放行。</w:t>
            </w:r>
          </w:p>
          <w:p w14:paraId="142792F3">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▲2.16投标产品具备云平台清分结算系统须保证合规、合法、稳定性要求，具有央行颁发支付牌照证书支撑，并提供证书加盖公章证明,子母关系公司可授权。</w:t>
            </w:r>
          </w:p>
          <w:p w14:paraId="761B46C1">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3、系统技术要求</w:t>
            </w:r>
          </w:p>
          <w:p w14:paraId="4A5018CA">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3.1.平台技术架构</w:t>
            </w:r>
          </w:p>
          <w:p w14:paraId="1A5706C5">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A、平台要求采用Java语言开发，完全采用B/S架构，支持目前主流浏览器IE、Chrome和Firefox等。</w:t>
            </w:r>
          </w:p>
          <w:p w14:paraId="12188557">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B、平台要求能采用Linux服务器部署，数据库优先采用开源的MySQL数据库，平台应用服务器和数据库服务器要求支持多机高可用部署，同时提供了自动化构建能力，全运维流程监控能力。</w:t>
            </w:r>
          </w:p>
          <w:p w14:paraId="112C0AE3">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C、平台要求具有良好的架构设计，主要框架要求采用开源框架，不能使用收费的商业框架。平台建议采用分布式微服务架构，支持亿级以上海量数据的处理以及复杂业务场景的处理，每个业务服务能独立部署和维护；当单个业务服务出现故障时，不能影响其他业务服务的正常运行。微服务架构最好采用目前主流Spring Cloud 搭建，实现系统的高扩展性和高维护性。</w:t>
            </w:r>
          </w:p>
          <w:p w14:paraId="0C7B0968">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D、平台要求支持良好的二次开发能力，保障平台的扩展性和个性化，同时要求平台的基础模块和其他业务模块正常升级时，不影响二次开发的业务模块。</w:t>
            </w:r>
          </w:p>
          <w:p w14:paraId="4E2E3ADD">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★E、平台要求预留后续对接校园数据中台所需接口（供应商提供承诺函，格式自拟）</w:t>
            </w:r>
          </w:p>
          <w:p w14:paraId="05B4ACFA">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F、平台要求提供灰度部署方案，通过部署灰度环境和生产环境两个环境，支持新功能在灰度环境部署试用，功能稳定后再通过流量切换到生产环境上，实现了不停机更新。</w:t>
            </w:r>
          </w:p>
          <w:p w14:paraId="1D51F15A">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3.2.平台性能要求</w:t>
            </w:r>
          </w:p>
          <w:p w14:paraId="6DD47D35">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A、系统响应时间：</w:t>
            </w:r>
          </w:p>
          <w:p w14:paraId="3FF0D855">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平台启动时间小于1s；</w:t>
            </w:r>
          </w:p>
          <w:p w14:paraId="13BB6833">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登录平台时间小于100ms；</w:t>
            </w:r>
          </w:p>
          <w:p w14:paraId="588EDA9A">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该系统与各个业务系统之间的接口响应时间小于100ms；</w:t>
            </w:r>
          </w:p>
          <w:p w14:paraId="3C71E81F">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数据查询操作，近期数据查询响应时间小于1秒，历史数据查询响应时间小于5秒；</w:t>
            </w:r>
          </w:p>
          <w:p w14:paraId="63C86061">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设备远程操作，响应时间小于3秒；</w:t>
            </w:r>
          </w:p>
          <w:p w14:paraId="4770A2A3">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功能菜单切换，响应时间小于1秒。</w:t>
            </w:r>
          </w:p>
          <w:p w14:paraId="230A6A3D">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B、数据保存时长（记录）：10年以上；</w:t>
            </w:r>
          </w:p>
          <w:p w14:paraId="28214B99">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C、数据保存时长（图片）：抓拍的图片，保存期限最低180天；</w:t>
            </w:r>
          </w:p>
          <w:p w14:paraId="46A22731">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D、能支撑至少200个停车场项目的稳定运行，并可动态扩展，不能出现延时、卡顿等现象；</w:t>
            </w:r>
          </w:p>
          <w:p w14:paraId="19F080C1">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E、需实时进行数据汇总，防止数据被恶意篡改，避免人为作弊；</w:t>
            </w:r>
          </w:p>
          <w:p w14:paraId="2F65BE12">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3.3．高并发性</w:t>
            </w:r>
          </w:p>
          <w:p w14:paraId="5BD8CF48">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系统支持并发用户数达到1000个以上，操作响应速度不超过2秒。</w:t>
            </w:r>
          </w:p>
          <w:p w14:paraId="5F30340E">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3.4．可靠性</w:t>
            </w:r>
          </w:p>
          <w:p w14:paraId="56D68F3A">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A、平均无故障运行时间：平台应具备全天候7*24小时无故障稳定运行。</w:t>
            </w:r>
          </w:p>
          <w:p w14:paraId="0CCF9141">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B、平台应具有网管接口和故障告警功能，出现服务崩溃等故障现象时，应主动预警；</w:t>
            </w:r>
          </w:p>
          <w:p w14:paraId="1531D922">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C、系统具有容错能力，在大并发、高连接数的情况下不会崩溃。出现问题时，能准确定位。</w:t>
            </w:r>
          </w:p>
          <w:p w14:paraId="08103573">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3.5．安全性和许可限制</w:t>
            </w:r>
          </w:p>
          <w:p w14:paraId="5BD350E3">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A、平台必须具备高度的安全机制，防止数据被篡改和丢失，保证业务和数据的安全，系统同时必须具备安全可靠的恢复与备份机制。</w:t>
            </w:r>
          </w:p>
          <w:p w14:paraId="2A36CAD1">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B、接入平台的物业项目数量不受任何许可限制。</w:t>
            </w:r>
          </w:p>
        </w:tc>
        <w:tc>
          <w:tcPr>
            <w:tcW w:w="3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904CC4">
            <w:pPr>
              <w:widowControl/>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1</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82288D">
            <w:pPr>
              <w:widowControl/>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套</w:t>
            </w:r>
          </w:p>
        </w:tc>
      </w:tr>
      <w:tr w14:paraId="6FD16850">
        <w:tblPrEx>
          <w:tblCellMar>
            <w:top w:w="0" w:type="dxa"/>
            <w:left w:w="108" w:type="dxa"/>
            <w:bottom w:w="0" w:type="dxa"/>
            <w:right w:w="108" w:type="dxa"/>
          </w:tblCellMar>
        </w:tblPrEx>
        <w:trPr>
          <w:trHeight w:val="469" w:hRule="atLeast"/>
          <w:jc w:val="center"/>
        </w:trPr>
        <w:tc>
          <w:tcPr>
            <w:tcW w:w="7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0C1913">
            <w:pPr>
              <w:widowControl/>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安装调试费</w:t>
            </w:r>
          </w:p>
        </w:tc>
        <w:tc>
          <w:tcPr>
            <w:tcW w:w="35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CE43ED">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设备调试，互联，上线等费用</w:t>
            </w:r>
          </w:p>
          <w:p w14:paraId="752464CA">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含路面开挖，线路铺设，机柜整理</w:t>
            </w:r>
          </w:p>
          <w:p w14:paraId="5798E60A">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★含所有安装辅材及设备，如线缆，交换机，控制柜等所有满足系统运行所需的辅材(供应商提供承诺函，格式自拟)</w:t>
            </w:r>
          </w:p>
        </w:tc>
        <w:tc>
          <w:tcPr>
            <w:tcW w:w="3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BB9F02">
            <w:pPr>
              <w:widowControl/>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1</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9FAD87">
            <w:pPr>
              <w:widowControl/>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项</w:t>
            </w:r>
          </w:p>
        </w:tc>
      </w:tr>
    </w:tbl>
    <w:p w14:paraId="65BCBBA3">
      <w:pPr>
        <w:numPr>
          <w:ilvl w:val="0"/>
          <w:numId w:val="1"/>
        </w:numPr>
        <w:spacing w:line="360" w:lineRule="auto"/>
        <w:ind w:firstLine="562" w:firstLineChars="200"/>
        <w:rPr>
          <w:rFonts w:hint="eastAsia" w:ascii="宋体" w:hAnsi="宋体" w:cs="宋体"/>
          <w:b/>
          <w:bCs/>
          <w:sz w:val="28"/>
          <w:szCs w:val="28"/>
        </w:rPr>
      </w:pPr>
      <w:r>
        <w:rPr>
          <w:rFonts w:hint="eastAsia" w:ascii="宋体" w:hAnsi="宋体" w:cs="宋体"/>
          <w:b/>
          <w:bCs/>
          <w:sz w:val="28"/>
          <w:szCs w:val="28"/>
        </w:rPr>
        <w:t>付款结算：</w:t>
      </w:r>
    </w:p>
    <w:p w14:paraId="4A78D7D1">
      <w:pPr>
        <w:numPr>
          <w:ilvl w:val="255"/>
          <w:numId w:val="0"/>
        </w:numPr>
        <w:spacing w:line="360" w:lineRule="auto"/>
        <w:ind w:firstLine="560" w:firstLineChars="200"/>
        <w:jc w:val="left"/>
        <w:rPr>
          <w:rFonts w:hint="eastAsia" w:ascii="宋体" w:hAnsi="宋体" w:cs="宋体"/>
          <w:sz w:val="28"/>
          <w:szCs w:val="28"/>
        </w:rPr>
      </w:pPr>
      <w:r>
        <w:rPr>
          <w:rFonts w:hint="eastAsia" w:ascii="宋体" w:hAnsi="宋体" w:cs="宋体"/>
          <w:sz w:val="28"/>
          <w:szCs w:val="28"/>
        </w:rPr>
        <w:t>项目服务完成后，经采购人和中标供应商双方确认服务验收合格后，中标人提交付款申请并提供相应金额的正式发票后，采购人在20个工作日内一次性支付合同金额的100%。</w:t>
      </w:r>
    </w:p>
    <w:p w14:paraId="4DF6A813">
      <w:pPr>
        <w:numPr>
          <w:ilvl w:val="0"/>
          <w:numId w:val="1"/>
        </w:numPr>
        <w:spacing w:line="360" w:lineRule="auto"/>
        <w:ind w:firstLine="562" w:firstLineChars="200"/>
        <w:rPr>
          <w:rFonts w:hint="eastAsia" w:ascii="宋体" w:hAnsi="宋体" w:cs="宋体"/>
          <w:b/>
          <w:bCs/>
          <w:sz w:val="28"/>
          <w:szCs w:val="28"/>
        </w:rPr>
      </w:pPr>
      <w:r>
        <w:rPr>
          <w:rFonts w:hint="eastAsia" w:ascii="宋体" w:hAnsi="宋体" w:cs="宋体"/>
          <w:b/>
          <w:bCs/>
          <w:sz w:val="28"/>
          <w:szCs w:val="28"/>
        </w:rPr>
        <w:t>其他要求</w:t>
      </w:r>
    </w:p>
    <w:p w14:paraId="1E310B15">
      <w:pPr>
        <w:pStyle w:val="11"/>
        <w:numPr>
          <w:ilvl w:val="0"/>
          <w:numId w:val="4"/>
        </w:numPr>
        <w:spacing w:after="0" w:line="360" w:lineRule="auto"/>
        <w:ind w:firstLine="576" w:firstLineChars="200"/>
        <w:rPr>
          <w:rFonts w:hint="eastAsia" w:ascii="宋体" w:hAnsi="宋体" w:cs="宋体" w:eastAsiaTheme="minorEastAsia"/>
          <w:b w:val="0"/>
          <w:bCs w:val="0"/>
          <w:sz w:val="28"/>
          <w:szCs w:val="28"/>
        </w:rPr>
      </w:pPr>
      <w:r>
        <w:rPr>
          <w:rFonts w:hint="eastAsia" w:ascii="宋体" w:hAnsi="宋体" w:cs="宋体" w:eastAsiaTheme="minorEastAsia"/>
          <w:b w:val="0"/>
          <w:bCs w:val="0"/>
          <w:sz w:val="28"/>
          <w:szCs w:val="28"/>
        </w:rPr>
        <w:t>售后服务要求</w:t>
      </w:r>
    </w:p>
    <w:p w14:paraId="7C4D9398">
      <w:pPr>
        <w:pStyle w:val="11"/>
        <w:numPr>
          <w:ilvl w:val="0"/>
          <w:numId w:val="5"/>
        </w:numPr>
        <w:spacing w:after="0" w:line="360" w:lineRule="auto"/>
        <w:ind w:firstLine="576" w:firstLineChars="200"/>
        <w:rPr>
          <w:rFonts w:hint="eastAsia" w:ascii="宋体" w:hAnsi="宋体" w:cs="宋体" w:eastAsiaTheme="minorEastAsia"/>
          <w:b w:val="0"/>
          <w:bCs w:val="0"/>
          <w:sz w:val="28"/>
          <w:szCs w:val="28"/>
        </w:rPr>
      </w:pPr>
      <w:r>
        <w:rPr>
          <w:rFonts w:hint="eastAsia" w:ascii="宋体" w:hAnsi="宋体" w:cs="宋体" w:eastAsiaTheme="minorEastAsia"/>
          <w:b w:val="0"/>
          <w:bCs w:val="0"/>
          <w:sz w:val="28"/>
          <w:szCs w:val="28"/>
        </w:rPr>
        <w:t>要求供应商在响应文件中提供详细具体的售后服务承诺条款。</w:t>
      </w:r>
    </w:p>
    <w:p w14:paraId="51C61DA4">
      <w:pPr>
        <w:pStyle w:val="11"/>
        <w:numPr>
          <w:ilvl w:val="0"/>
          <w:numId w:val="5"/>
        </w:numPr>
        <w:spacing w:after="0" w:line="360" w:lineRule="auto"/>
        <w:ind w:firstLine="576" w:firstLineChars="200"/>
        <w:rPr>
          <w:rFonts w:hint="eastAsia" w:ascii="宋体" w:hAnsi="宋体" w:cs="宋体" w:eastAsiaTheme="minorEastAsia"/>
          <w:b w:val="0"/>
          <w:bCs w:val="0"/>
          <w:sz w:val="28"/>
          <w:szCs w:val="28"/>
        </w:rPr>
      </w:pPr>
      <w:r>
        <w:rPr>
          <w:rFonts w:hint="eastAsia" w:ascii="宋体" w:hAnsi="宋体" w:cs="宋体" w:eastAsiaTheme="minorEastAsia"/>
          <w:b w:val="0"/>
          <w:bCs w:val="0"/>
          <w:sz w:val="28"/>
          <w:szCs w:val="28"/>
        </w:rPr>
        <w:t>供应商须提供7×24小时服务，对于软件在使用过程中出现的问题，在4小时内响应。如遇与所供设备有关的问题无法远程解决的，在事件确定后12小时内赶到现场提供免费服务，24小时内未解决的成交供应商应提供详细的应急解决方案。因成交供应商工作延误，造成采购人损失的，成交供应商应负赔偿责任。</w:t>
      </w:r>
    </w:p>
    <w:p w14:paraId="7D51ADB3">
      <w:pPr>
        <w:pStyle w:val="11"/>
        <w:numPr>
          <w:ilvl w:val="0"/>
          <w:numId w:val="5"/>
        </w:numPr>
        <w:spacing w:after="0" w:line="360" w:lineRule="auto"/>
        <w:ind w:firstLine="576" w:firstLineChars="200"/>
        <w:rPr>
          <w:rFonts w:hint="eastAsia" w:ascii="宋体" w:hAnsi="宋体" w:cs="宋体" w:eastAsiaTheme="minorEastAsia"/>
          <w:b w:val="0"/>
          <w:bCs w:val="0"/>
          <w:sz w:val="28"/>
          <w:szCs w:val="28"/>
        </w:rPr>
      </w:pPr>
      <w:r>
        <w:rPr>
          <w:rFonts w:hint="eastAsia" w:ascii="宋体" w:hAnsi="宋体" w:cs="宋体" w:eastAsiaTheme="minorEastAsia"/>
          <w:b w:val="0"/>
          <w:bCs w:val="0"/>
          <w:sz w:val="28"/>
          <w:szCs w:val="28"/>
        </w:rPr>
        <w:t>要求供应商必须拥有专业的售后维护服务团队，能够保证本项目所采购系统的正常运行。</w:t>
      </w:r>
    </w:p>
    <w:p w14:paraId="0519B52E">
      <w:pPr>
        <w:pStyle w:val="11"/>
        <w:numPr>
          <w:ilvl w:val="0"/>
          <w:numId w:val="4"/>
        </w:numPr>
        <w:spacing w:after="0" w:line="360" w:lineRule="auto"/>
        <w:ind w:firstLine="576" w:firstLineChars="200"/>
        <w:rPr>
          <w:rFonts w:hint="eastAsia" w:ascii="宋体" w:hAnsi="宋体" w:cs="宋体" w:eastAsiaTheme="minorEastAsia"/>
          <w:b w:val="0"/>
          <w:bCs w:val="0"/>
          <w:sz w:val="28"/>
          <w:szCs w:val="28"/>
        </w:rPr>
      </w:pPr>
      <w:r>
        <w:rPr>
          <w:rFonts w:hint="eastAsia" w:ascii="宋体" w:hAnsi="宋体" w:cs="宋体" w:eastAsiaTheme="minorEastAsia"/>
          <w:b w:val="0"/>
          <w:bCs w:val="0"/>
          <w:sz w:val="28"/>
          <w:szCs w:val="28"/>
        </w:rPr>
        <w:t>质保期要求</w:t>
      </w:r>
    </w:p>
    <w:p w14:paraId="471ADE51">
      <w:pPr>
        <w:pStyle w:val="11"/>
        <w:spacing w:after="0" w:line="360" w:lineRule="auto"/>
        <w:ind w:firstLine="576" w:firstLineChars="200"/>
        <w:rPr>
          <w:rFonts w:hint="eastAsia" w:ascii="宋体" w:hAnsi="宋体" w:cs="宋体"/>
          <w:sz w:val="28"/>
          <w:szCs w:val="28"/>
        </w:rPr>
      </w:pPr>
      <w:r>
        <w:rPr>
          <w:rFonts w:hint="eastAsia" w:ascii="宋体" w:hAnsi="宋体" w:cs="宋体" w:eastAsiaTheme="minorEastAsia"/>
          <w:b w:val="0"/>
          <w:bCs w:val="0"/>
          <w:sz w:val="28"/>
          <w:szCs w:val="28"/>
        </w:rPr>
        <w:t>本项目要求供应商书面承诺对软件产品提供自验收合格之日起三年免费升级维护，所需的费用应包含在报价中。</w:t>
      </w:r>
    </w:p>
    <w:p w14:paraId="1133CC43">
      <w:pPr>
        <w:numPr>
          <w:ilvl w:val="0"/>
          <w:numId w:val="1"/>
        </w:numPr>
        <w:spacing w:line="360" w:lineRule="auto"/>
        <w:ind w:firstLine="562" w:firstLineChars="200"/>
        <w:rPr>
          <w:rFonts w:hint="eastAsia" w:ascii="宋体" w:hAnsi="宋体" w:cs="宋体"/>
          <w:b/>
          <w:bCs/>
          <w:sz w:val="28"/>
          <w:szCs w:val="28"/>
        </w:rPr>
      </w:pPr>
      <w:r>
        <w:rPr>
          <w:rFonts w:hint="eastAsia" w:ascii="宋体" w:hAnsi="宋体" w:cs="宋体"/>
          <w:b/>
          <w:bCs/>
          <w:sz w:val="28"/>
          <w:szCs w:val="28"/>
        </w:rPr>
        <w:t>评审规则</w:t>
      </w:r>
    </w:p>
    <w:p w14:paraId="3F7AA290">
      <w:pPr>
        <w:spacing w:line="360" w:lineRule="auto"/>
        <w:ind w:firstLine="560" w:firstLineChars="200"/>
        <w:rPr>
          <w:rFonts w:hint="eastAsia" w:ascii="宋体" w:hAnsi="宋体" w:cs="宋体"/>
          <w:sz w:val="28"/>
          <w:szCs w:val="28"/>
        </w:rPr>
      </w:pPr>
      <w:r>
        <w:rPr>
          <w:rFonts w:hint="eastAsia" w:ascii="宋体" w:hAnsi="宋体" w:cs="宋体"/>
          <w:sz w:val="28"/>
          <w:szCs w:val="28"/>
        </w:rPr>
        <w:t>（一）本次询价须满足3家或以上供应商提交报价；若不足三家，本次询价失败。</w:t>
      </w:r>
    </w:p>
    <w:p w14:paraId="76500463">
      <w:pPr>
        <w:spacing w:line="360" w:lineRule="auto"/>
        <w:ind w:firstLine="560" w:firstLineChars="200"/>
        <w:jc w:val="left"/>
        <w:rPr>
          <w:rFonts w:hint="eastAsia" w:ascii="宋体" w:hAnsi="宋体" w:cs="宋体"/>
          <w:sz w:val="28"/>
          <w:szCs w:val="28"/>
        </w:rPr>
      </w:pPr>
      <w:r>
        <w:rPr>
          <w:rFonts w:hint="eastAsia" w:ascii="宋体" w:hAnsi="宋体" w:cs="宋体"/>
          <w:sz w:val="28"/>
          <w:szCs w:val="28"/>
        </w:rPr>
        <w:t>（二）无论询价结果如何，供应商应承担准备文件和递交文件所发生的任何成本和费用。</w:t>
      </w:r>
    </w:p>
    <w:p w14:paraId="4C668315">
      <w:pPr>
        <w:spacing w:line="360" w:lineRule="auto"/>
        <w:ind w:firstLine="560" w:firstLineChars="200"/>
        <w:jc w:val="left"/>
        <w:rPr>
          <w:rFonts w:hint="eastAsia" w:ascii="宋体" w:hAnsi="宋体" w:cs="宋体"/>
          <w:sz w:val="28"/>
          <w:szCs w:val="28"/>
        </w:rPr>
      </w:pPr>
      <w:r>
        <w:rPr>
          <w:rFonts w:hint="eastAsia" w:ascii="宋体" w:hAnsi="宋体" w:cs="宋体"/>
          <w:sz w:val="28"/>
          <w:szCs w:val="28"/>
        </w:rPr>
        <w:t>（三）最低评标（审）价法：在满足采购需求全部实质性要求的供应商中选择报价最低的供应商为成交（中标）供应商。</w:t>
      </w:r>
    </w:p>
    <w:p w14:paraId="12B598F7">
      <w:pPr>
        <w:numPr>
          <w:ilvl w:val="0"/>
          <w:numId w:val="1"/>
        </w:numPr>
        <w:spacing w:line="360" w:lineRule="auto"/>
        <w:ind w:firstLine="562" w:firstLineChars="200"/>
        <w:rPr>
          <w:rFonts w:hint="eastAsia" w:ascii="宋体" w:hAnsi="宋体" w:eastAsia="宋体" w:cs="宋体"/>
          <w:b/>
          <w:bCs/>
          <w:sz w:val="28"/>
          <w:szCs w:val="28"/>
        </w:rPr>
      </w:pPr>
      <w:r>
        <w:rPr>
          <w:rFonts w:hint="eastAsia" w:ascii="宋体" w:hAnsi="宋体" w:eastAsia="宋体" w:cs="宋体"/>
          <w:b/>
          <w:sz w:val="28"/>
          <w:szCs w:val="28"/>
        </w:rPr>
        <w:t>供应商提交的资料（提交的资料均须加盖公章）</w:t>
      </w:r>
    </w:p>
    <w:p w14:paraId="02A7DE23">
      <w:pPr>
        <w:numPr>
          <w:ilvl w:val="0"/>
          <w:numId w:val="6"/>
        </w:numPr>
        <w:spacing w:line="360" w:lineRule="auto"/>
        <w:ind w:firstLine="560" w:firstLineChars="200"/>
        <w:jc w:val="left"/>
        <w:rPr>
          <w:rFonts w:hint="eastAsia" w:ascii="宋体" w:hAnsi="宋体" w:cs="宋体"/>
          <w:sz w:val="28"/>
          <w:szCs w:val="28"/>
        </w:rPr>
      </w:pPr>
      <w:r>
        <w:rPr>
          <w:rFonts w:hint="eastAsia" w:ascii="宋体" w:hAnsi="宋体" w:cs="宋体"/>
          <w:sz w:val="28"/>
          <w:szCs w:val="28"/>
        </w:rPr>
        <w:t>按要求提交加盖报价供应商公章的《报价一览表》（附件1）。</w:t>
      </w:r>
    </w:p>
    <w:p w14:paraId="7592AA77">
      <w:pPr>
        <w:numPr>
          <w:ilvl w:val="0"/>
          <w:numId w:val="6"/>
        </w:numPr>
        <w:spacing w:line="360" w:lineRule="auto"/>
        <w:ind w:firstLine="560" w:firstLineChars="200"/>
        <w:jc w:val="left"/>
        <w:rPr>
          <w:rFonts w:hint="eastAsia" w:ascii="宋体" w:hAnsi="宋体" w:cs="宋体"/>
          <w:sz w:val="28"/>
          <w:szCs w:val="28"/>
        </w:rPr>
      </w:pPr>
      <w:r>
        <w:rPr>
          <w:rFonts w:hint="eastAsia" w:ascii="宋体" w:hAnsi="宋体" w:cs="宋体"/>
          <w:sz w:val="28"/>
          <w:szCs w:val="28"/>
        </w:rPr>
        <w:t>按要求提交加盖报价供应商公章的《报价明细表》（附件2）。</w:t>
      </w:r>
    </w:p>
    <w:p w14:paraId="05CC7375">
      <w:pPr>
        <w:pStyle w:val="3"/>
        <w:numPr>
          <w:ilvl w:val="0"/>
          <w:numId w:val="6"/>
        </w:numPr>
        <w:spacing w:before="0" w:after="0" w:line="360" w:lineRule="auto"/>
        <w:ind w:firstLine="560" w:firstLineChars="200"/>
        <w:rPr>
          <w:rFonts w:hint="eastAsia" w:ascii="宋体" w:hAnsi="宋体" w:cs="宋体"/>
          <w:b w:val="0"/>
          <w:szCs w:val="28"/>
        </w:rPr>
      </w:pPr>
      <w:r>
        <w:rPr>
          <w:rFonts w:hint="eastAsia" w:ascii="宋体" w:hAnsi="宋体" w:cs="宋体"/>
          <w:b w:val="0"/>
          <w:szCs w:val="28"/>
        </w:rPr>
        <w:t>按要求提交加盖报价供应商公章的《承诺书》（附件3）。</w:t>
      </w:r>
    </w:p>
    <w:p w14:paraId="2281FEDA">
      <w:pPr>
        <w:numPr>
          <w:ilvl w:val="0"/>
          <w:numId w:val="6"/>
        </w:numPr>
        <w:spacing w:line="360" w:lineRule="auto"/>
        <w:ind w:firstLine="560" w:firstLineChars="200"/>
        <w:jc w:val="left"/>
        <w:rPr>
          <w:rFonts w:hint="eastAsia" w:ascii="宋体" w:hAnsi="宋体" w:cs="宋体"/>
          <w:sz w:val="28"/>
          <w:szCs w:val="28"/>
        </w:rPr>
      </w:pPr>
      <w:r>
        <w:rPr>
          <w:rFonts w:hint="eastAsia" w:ascii="宋体" w:hAnsi="宋体" w:cs="宋体"/>
          <w:sz w:val="28"/>
          <w:szCs w:val="28"/>
        </w:rPr>
        <w:t>提交企业法人《营业执照》副本或事业单位法人证书或法人登记证书复印件，并加盖报价供应商公章。</w:t>
      </w:r>
    </w:p>
    <w:p w14:paraId="7D555246">
      <w:pPr>
        <w:numPr>
          <w:ilvl w:val="0"/>
          <w:numId w:val="6"/>
        </w:numPr>
        <w:spacing w:line="360" w:lineRule="auto"/>
        <w:ind w:firstLine="560" w:firstLineChars="200"/>
        <w:jc w:val="left"/>
        <w:rPr>
          <w:rFonts w:ascii="宋体" w:hAnsi="宋体" w:cs="宋体"/>
          <w:sz w:val="28"/>
          <w:szCs w:val="28"/>
        </w:rPr>
      </w:pPr>
      <w:r>
        <w:rPr>
          <w:rFonts w:hint="eastAsia" w:ascii="宋体" w:hAnsi="宋体" w:cs="宋体"/>
          <w:sz w:val="28"/>
          <w:szCs w:val="28"/>
        </w:rPr>
        <w:t>供应商所递交的报价文件须密封完好，并且在封面填写项目名称；采购人拒收没有密封完好的报价文件。</w:t>
      </w:r>
    </w:p>
    <w:p w14:paraId="69EEC669">
      <w:pPr>
        <w:numPr>
          <w:ilvl w:val="0"/>
          <w:numId w:val="6"/>
        </w:numPr>
        <w:spacing w:line="360" w:lineRule="auto"/>
        <w:ind w:firstLine="560" w:firstLineChars="200"/>
        <w:jc w:val="left"/>
        <w:rPr>
          <w:rFonts w:hint="eastAsia" w:ascii="宋体" w:hAnsi="宋体" w:cs="宋体"/>
          <w:sz w:val="28"/>
          <w:szCs w:val="28"/>
        </w:rPr>
      </w:pPr>
      <w:r>
        <w:rPr>
          <w:rFonts w:hint="eastAsia" w:ascii="宋体" w:hAnsi="宋体" w:cs="宋体"/>
          <w:sz w:val="28"/>
          <w:szCs w:val="28"/>
        </w:rPr>
        <w:t>供应商按要求提供所需证明材料及承诺函，并加盖供应商公章。</w:t>
      </w:r>
    </w:p>
    <w:p w14:paraId="20E08FAE">
      <w:pPr>
        <w:rPr>
          <w:rFonts w:hint="eastAsia" w:ascii="宋体" w:hAnsi="宋体" w:cs="宋体"/>
          <w:b/>
          <w:sz w:val="24"/>
        </w:rPr>
      </w:pPr>
      <w:r>
        <w:rPr>
          <w:rFonts w:hint="eastAsia" w:ascii="宋体" w:hAnsi="宋体" w:cs="宋体"/>
          <w:b/>
          <w:sz w:val="24"/>
        </w:rPr>
        <w:br w:type="page"/>
      </w:r>
    </w:p>
    <w:p w14:paraId="236C3566">
      <w:pPr>
        <w:tabs>
          <w:tab w:val="left" w:pos="8100"/>
        </w:tabs>
        <w:adjustRightInd w:val="0"/>
        <w:snapToGrid w:val="0"/>
        <w:spacing w:line="348" w:lineRule="auto"/>
        <w:rPr>
          <w:rFonts w:hint="eastAsia" w:ascii="宋体" w:hAnsi="宋体" w:cs="宋体"/>
          <w:b/>
          <w:sz w:val="24"/>
        </w:rPr>
      </w:pPr>
      <w:r>
        <w:rPr>
          <w:rFonts w:hint="eastAsia" w:ascii="宋体" w:hAnsi="宋体" w:cs="宋体"/>
          <w:b/>
          <w:sz w:val="24"/>
        </w:rPr>
        <w:t>附件1</w:t>
      </w:r>
    </w:p>
    <w:p w14:paraId="5B82E9C5">
      <w:pPr>
        <w:tabs>
          <w:tab w:val="left" w:pos="8100"/>
        </w:tabs>
        <w:adjustRightInd w:val="0"/>
        <w:snapToGrid w:val="0"/>
        <w:spacing w:line="348" w:lineRule="auto"/>
        <w:rPr>
          <w:rFonts w:hint="eastAsia" w:ascii="宋体" w:hAnsi="宋体" w:cs="宋体"/>
          <w:b/>
          <w:sz w:val="24"/>
        </w:rPr>
      </w:pPr>
    </w:p>
    <w:p w14:paraId="5A8C3922">
      <w:pPr>
        <w:pStyle w:val="3"/>
        <w:spacing w:before="0" w:after="0" w:line="400" w:lineRule="exact"/>
        <w:jc w:val="center"/>
        <w:rPr>
          <w:rFonts w:hint="eastAsia" w:ascii="宋体" w:hAnsi="宋体" w:cs="宋体"/>
          <w:szCs w:val="28"/>
        </w:rPr>
      </w:pPr>
      <w:r>
        <w:rPr>
          <w:rFonts w:hint="eastAsia" w:ascii="宋体" w:hAnsi="宋体" w:cs="宋体"/>
          <w:szCs w:val="28"/>
        </w:rPr>
        <w:t xml:space="preserve"> 报价一览表  </w:t>
      </w:r>
    </w:p>
    <w:p w14:paraId="45AB7F78">
      <w:pPr>
        <w:pStyle w:val="3"/>
        <w:spacing w:before="0" w:after="0" w:line="400" w:lineRule="exact"/>
        <w:ind w:right="480"/>
        <w:jc w:val="right"/>
        <w:rPr>
          <w:rFonts w:hint="eastAsia" w:ascii="宋体" w:hAnsi="宋体" w:cs="宋体"/>
          <w:b w:val="0"/>
          <w:sz w:val="24"/>
          <w:szCs w:val="24"/>
        </w:rPr>
      </w:pPr>
      <w:r>
        <w:rPr>
          <w:rFonts w:hint="eastAsia" w:ascii="宋体" w:hAnsi="宋体" w:cs="宋体"/>
          <w:b w:val="0"/>
          <w:sz w:val="24"/>
          <w:szCs w:val="24"/>
        </w:rPr>
        <w:t>货币单位：人民币元</w:t>
      </w:r>
    </w:p>
    <w:tbl>
      <w:tblPr>
        <w:tblStyle w:val="12"/>
        <w:tblW w:w="9348" w:type="dxa"/>
        <w:jc w:val="center"/>
        <w:tblLayout w:type="fixed"/>
        <w:tblCellMar>
          <w:top w:w="0" w:type="dxa"/>
          <w:left w:w="30" w:type="dxa"/>
          <w:bottom w:w="0" w:type="dxa"/>
          <w:right w:w="30" w:type="dxa"/>
        </w:tblCellMar>
      </w:tblPr>
      <w:tblGrid>
        <w:gridCol w:w="2549"/>
        <w:gridCol w:w="6799"/>
      </w:tblGrid>
      <w:tr w14:paraId="2AABB889">
        <w:tblPrEx>
          <w:tblCellMar>
            <w:top w:w="0" w:type="dxa"/>
            <w:left w:w="30" w:type="dxa"/>
            <w:bottom w:w="0" w:type="dxa"/>
            <w:right w:w="30" w:type="dxa"/>
          </w:tblCellMar>
        </w:tblPrEx>
        <w:trPr>
          <w:cantSplit/>
          <w:trHeight w:val="660" w:hRule="atLeast"/>
          <w:jc w:val="center"/>
        </w:trPr>
        <w:tc>
          <w:tcPr>
            <w:tcW w:w="2549" w:type="dxa"/>
            <w:tcBorders>
              <w:top w:val="single" w:color="auto" w:sz="6" w:space="0"/>
              <w:left w:val="single" w:color="auto" w:sz="6" w:space="0"/>
              <w:bottom w:val="nil"/>
              <w:right w:val="single" w:color="auto" w:sz="6" w:space="0"/>
            </w:tcBorders>
            <w:vAlign w:val="center"/>
          </w:tcPr>
          <w:p w14:paraId="549F79DB">
            <w:pPr>
              <w:autoSpaceDE w:val="0"/>
              <w:autoSpaceDN w:val="0"/>
              <w:adjustRightInd w:val="0"/>
              <w:spacing w:line="480" w:lineRule="exact"/>
              <w:jc w:val="center"/>
              <w:rPr>
                <w:rFonts w:hint="eastAsia" w:ascii="宋体" w:hAnsi="宋体"/>
                <w:b/>
                <w:sz w:val="24"/>
              </w:rPr>
            </w:pPr>
            <w:r>
              <w:rPr>
                <w:rFonts w:hint="eastAsia" w:ascii="宋体" w:hAnsi="宋体"/>
                <w:b/>
                <w:sz w:val="24"/>
              </w:rPr>
              <w:t>项目名称</w:t>
            </w:r>
          </w:p>
        </w:tc>
        <w:tc>
          <w:tcPr>
            <w:tcW w:w="6799" w:type="dxa"/>
            <w:tcBorders>
              <w:top w:val="single" w:color="auto" w:sz="6" w:space="0"/>
              <w:left w:val="single" w:color="auto" w:sz="6" w:space="0"/>
              <w:bottom w:val="single" w:color="auto" w:sz="6" w:space="0"/>
              <w:right w:val="single" w:color="auto" w:sz="6" w:space="0"/>
            </w:tcBorders>
            <w:vAlign w:val="center"/>
          </w:tcPr>
          <w:p w14:paraId="2AE0BF6A">
            <w:pPr>
              <w:autoSpaceDE w:val="0"/>
              <w:autoSpaceDN w:val="0"/>
              <w:adjustRightInd w:val="0"/>
              <w:spacing w:line="480" w:lineRule="exact"/>
              <w:jc w:val="center"/>
              <w:rPr>
                <w:rFonts w:hint="eastAsia" w:ascii="宋体" w:hAnsi="宋体"/>
                <w:sz w:val="24"/>
              </w:rPr>
            </w:pPr>
            <w:r>
              <w:rPr>
                <w:rFonts w:hint="eastAsia" w:ascii="宋体" w:hAnsi="宋体"/>
                <w:sz w:val="24"/>
              </w:rPr>
              <w:t>广东生态工程职业学院升级天河校区(银屏岭)正门和东门车辆收费系统采购项目</w:t>
            </w:r>
          </w:p>
        </w:tc>
      </w:tr>
      <w:tr w14:paraId="01AAC228">
        <w:tblPrEx>
          <w:tblCellMar>
            <w:top w:w="0" w:type="dxa"/>
            <w:left w:w="30" w:type="dxa"/>
            <w:bottom w:w="0" w:type="dxa"/>
            <w:right w:w="30" w:type="dxa"/>
          </w:tblCellMar>
        </w:tblPrEx>
        <w:trPr>
          <w:cantSplit/>
          <w:trHeight w:val="1193" w:hRule="atLeast"/>
          <w:jc w:val="center"/>
        </w:trPr>
        <w:tc>
          <w:tcPr>
            <w:tcW w:w="2549" w:type="dxa"/>
            <w:vMerge w:val="restart"/>
            <w:tcBorders>
              <w:top w:val="single" w:color="auto" w:sz="6" w:space="0"/>
              <w:left w:val="single" w:color="auto" w:sz="6" w:space="0"/>
              <w:right w:val="single" w:color="auto" w:sz="6" w:space="0"/>
            </w:tcBorders>
            <w:vAlign w:val="center"/>
          </w:tcPr>
          <w:p w14:paraId="79D983D0">
            <w:pPr>
              <w:autoSpaceDE w:val="0"/>
              <w:autoSpaceDN w:val="0"/>
              <w:adjustRightInd w:val="0"/>
              <w:spacing w:line="480" w:lineRule="exact"/>
              <w:jc w:val="center"/>
              <w:rPr>
                <w:rFonts w:hint="eastAsia" w:ascii="宋体" w:hAnsi="宋体"/>
                <w:b/>
                <w:sz w:val="24"/>
              </w:rPr>
            </w:pPr>
            <w:r>
              <w:rPr>
                <w:rFonts w:hint="eastAsia" w:ascii="宋体" w:hAnsi="宋体"/>
                <w:b/>
                <w:sz w:val="24"/>
              </w:rPr>
              <w:t>总报价</w:t>
            </w:r>
            <w:r>
              <w:rPr>
                <w:rFonts w:ascii="宋体" w:hAnsi="宋体"/>
                <w:b/>
                <w:sz w:val="24"/>
              </w:rPr>
              <w:t>（元）</w:t>
            </w:r>
          </w:p>
        </w:tc>
        <w:tc>
          <w:tcPr>
            <w:tcW w:w="6799" w:type="dxa"/>
            <w:tcBorders>
              <w:top w:val="single" w:color="auto" w:sz="6" w:space="0"/>
              <w:left w:val="single" w:color="auto" w:sz="6" w:space="0"/>
              <w:bottom w:val="single" w:color="auto" w:sz="4" w:space="0"/>
              <w:right w:val="single" w:color="auto" w:sz="6" w:space="0"/>
            </w:tcBorders>
            <w:vAlign w:val="center"/>
          </w:tcPr>
          <w:p w14:paraId="48396AB5">
            <w:pPr>
              <w:autoSpaceDE w:val="0"/>
              <w:autoSpaceDN w:val="0"/>
              <w:adjustRightInd w:val="0"/>
              <w:spacing w:line="480" w:lineRule="exact"/>
              <w:ind w:firstLine="723" w:firstLineChars="300"/>
              <w:rPr>
                <w:rFonts w:hint="eastAsia" w:ascii="宋体" w:hAnsi="宋体"/>
                <w:b/>
                <w:sz w:val="24"/>
                <w:u w:val="single"/>
              </w:rPr>
            </w:pPr>
            <w:r>
              <w:rPr>
                <w:rFonts w:hint="eastAsia" w:ascii="宋体" w:hAnsi="宋体"/>
                <w:b/>
                <w:sz w:val="24"/>
                <w:u w:val="single"/>
              </w:rPr>
              <w:t xml:space="preserve">￥                                    </w:t>
            </w:r>
          </w:p>
        </w:tc>
      </w:tr>
      <w:tr w14:paraId="5C013961">
        <w:tblPrEx>
          <w:tblCellMar>
            <w:top w:w="0" w:type="dxa"/>
            <w:left w:w="30" w:type="dxa"/>
            <w:bottom w:w="0" w:type="dxa"/>
            <w:right w:w="30" w:type="dxa"/>
          </w:tblCellMar>
        </w:tblPrEx>
        <w:trPr>
          <w:cantSplit/>
          <w:trHeight w:val="985" w:hRule="atLeast"/>
          <w:jc w:val="center"/>
        </w:trPr>
        <w:tc>
          <w:tcPr>
            <w:tcW w:w="2549" w:type="dxa"/>
            <w:vMerge w:val="continue"/>
            <w:tcBorders>
              <w:left w:val="single" w:color="auto" w:sz="6" w:space="0"/>
              <w:right w:val="single" w:color="auto" w:sz="6" w:space="0"/>
            </w:tcBorders>
            <w:vAlign w:val="center"/>
          </w:tcPr>
          <w:p w14:paraId="700C2967">
            <w:pPr>
              <w:autoSpaceDE w:val="0"/>
              <w:autoSpaceDN w:val="0"/>
              <w:adjustRightInd w:val="0"/>
              <w:spacing w:line="480" w:lineRule="exact"/>
              <w:jc w:val="center"/>
              <w:rPr>
                <w:rFonts w:hint="eastAsia" w:ascii="宋体" w:hAnsi="宋体"/>
                <w:b/>
                <w:sz w:val="24"/>
              </w:rPr>
            </w:pPr>
          </w:p>
        </w:tc>
        <w:tc>
          <w:tcPr>
            <w:tcW w:w="6799" w:type="dxa"/>
            <w:tcBorders>
              <w:top w:val="single" w:color="auto" w:sz="4" w:space="0"/>
              <w:left w:val="single" w:color="auto" w:sz="6" w:space="0"/>
              <w:right w:val="single" w:color="auto" w:sz="6" w:space="0"/>
            </w:tcBorders>
            <w:vAlign w:val="center"/>
          </w:tcPr>
          <w:p w14:paraId="7833C4F5">
            <w:pPr>
              <w:autoSpaceDE w:val="0"/>
              <w:autoSpaceDN w:val="0"/>
              <w:adjustRightInd w:val="0"/>
              <w:spacing w:line="480" w:lineRule="exact"/>
              <w:ind w:firstLine="482" w:firstLineChars="200"/>
              <w:rPr>
                <w:rFonts w:hint="eastAsia" w:ascii="宋体" w:hAnsi="宋体"/>
                <w:b/>
                <w:sz w:val="24"/>
                <w:u w:val="single"/>
              </w:rPr>
            </w:pPr>
            <w:r>
              <w:rPr>
                <w:b/>
                <w:sz w:val="24"/>
              </w:rPr>
              <w:t>大写：</w:t>
            </w:r>
            <w:r>
              <w:rPr>
                <w:rFonts w:hint="eastAsia" w:ascii="宋体" w:hAnsi="宋体"/>
                <w:b/>
                <w:sz w:val="24"/>
                <w:u w:val="single"/>
              </w:rPr>
              <w:t xml:space="preserve">                                </w:t>
            </w:r>
            <w:r>
              <w:rPr>
                <w:rFonts w:ascii="宋体" w:hAnsi="宋体"/>
                <w:b/>
                <w:sz w:val="24"/>
                <w:u w:val="single"/>
              </w:rPr>
              <w:t xml:space="preserve">  </w:t>
            </w:r>
          </w:p>
        </w:tc>
      </w:tr>
      <w:tr w14:paraId="2A0F75BA">
        <w:tblPrEx>
          <w:tblCellMar>
            <w:top w:w="0" w:type="dxa"/>
            <w:left w:w="30" w:type="dxa"/>
            <w:bottom w:w="0" w:type="dxa"/>
            <w:right w:w="30" w:type="dxa"/>
          </w:tblCellMar>
        </w:tblPrEx>
        <w:trPr>
          <w:cantSplit/>
          <w:trHeight w:val="660" w:hRule="atLeast"/>
          <w:jc w:val="center"/>
        </w:trPr>
        <w:tc>
          <w:tcPr>
            <w:tcW w:w="2549" w:type="dxa"/>
            <w:tcBorders>
              <w:top w:val="single" w:color="auto" w:sz="6" w:space="0"/>
              <w:left w:val="single" w:color="auto" w:sz="6" w:space="0"/>
              <w:bottom w:val="single" w:color="auto" w:sz="6" w:space="0"/>
              <w:right w:val="single" w:color="auto" w:sz="6" w:space="0"/>
            </w:tcBorders>
            <w:vAlign w:val="center"/>
          </w:tcPr>
          <w:p w14:paraId="54B88D1C">
            <w:pPr>
              <w:autoSpaceDE w:val="0"/>
              <w:autoSpaceDN w:val="0"/>
              <w:adjustRightInd w:val="0"/>
              <w:spacing w:line="480" w:lineRule="exact"/>
              <w:jc w:val="center"/>
              <w:rPr>
                <w:rFonts w:hint="eastAsia" w:ascii="宋体" w:hAnsi="宋体"/>
                <w:b/>
                <w:sz w:val="24"/>
              </w:rPr>
            </w:pPr>
            <w:r>
              <w:rPr>
                <w:rFonts w:hint="eastAsia" w:ascii="宋体" w:hAnsi="宋体"/>
                <w:b/>
                <w:sz w:val="24"/>
              </w:rPr>
              <w:t>备注</w:t>
            </w:r>
          </w:p>
        </w:tc>
        <w:tc>
          <w:tcPr>
            <w:tcW w:w="6799" w:type="dxa"/>
            <w:tcBorders>
              <w:top w:val="single" w:color="auto" w:sz="6" w:space="0"/>
              <w:left w:val="single" w:color="auto" w:sz="6" w:space="0"/>
              <w:bottom w:val="single" w:color="auto" w:sz="6" w:space="0"/>
              <w:right w:val="single" w:color="auto" w:sz="6" w:space="0"/>
            </w:tcBorders>
            <w:vAlign w:val="center"/>
          </w:tcPr>
          <w:p w14:paraId="30BC5BAE">
            <w:pPr>
              <w:autoSpaceDE w:val="0"/>
              <w:autoSpaceDN w:val="0"/>
              <w:adjustRightInd w:val="0"/>
              <w:spacing w:line="480" w:lineRule="exact"/>
              <w:jc w:val="center"/>
              <w:rPr>
                <w:rFonts w:hint="eastAsia" w:ascii="宋体" w:hAnsi="宋体"/>
                <w:sz w:val="24"/>
              </w:rPr>
            </w:pPr>
          </w:p>
        </w:tc>
      </w:tr>
    </w:tbl>
    <w:p w14:paraId="466ECC8C">
      <w:pPr>
        <w:pStyle w:val="6"/>
        <w:spacing w:line="480" w:lineRule="exact"/>
        <w:ind w:firstLine="100" w:firstLineChars="50"/>
        <w:rPr>
          <w:rFonts w:hint="eastAsia" w:hAnsi="宋体"/>
        </w:rPr>
      </w:pPr>
      <w:r>
        <w:rPr>
          <w:rFonts w:hint="eastAsia" w:hAnsi="宋体"/>
        </w:rPr>
        <w:t>注：</w:t>
      </w:r>
    </w:p>
    <w:p w14:paraId="06CA7157">
      <w:pPr>
        <w:pStyle w:val="6"/>
        <w:numPr>
          <w:ilvl w:val="0"/>
          <w:numId w:val="7"/>
        </w:numPr>
        <w:spacing w:line="0" w:lineRule="atLeast"/>
        <w:rPr>
          <w:rFonts w:hint="eastAsia" w:hAnsi="宋体"/>
        </w:rPr>
      </w:pPr>
      <w:r>
        <w:rPr>
          <w:rFonts w:hint="eastAsia" w:hAnsi="宋体"/>
        </w:rPr>
        <w:t>本表报价包含完成本项目应预见和不可预见的一切含税费用。</w:t>
      </w:r>
    </w:p>
    <w:p w14:paraId="5EC0C669">
      <w:pPr>
        <w:pStyle w:val="6"/>
        <w:numPr>
          <w:ilvl w:val="0"/>
          <w:numId w:val="7"/>
        </w:numPr>
        <w:spacing w:line="0" w:lineRule="atLeast"/>
        <w:rPr>
          <w:rFonts w:hint="eastAsia" w:hAnsi="宋体"/>
        </w:rPr>
      </w:pPr>
      <w:r>
        <w:rPr>
          <w:rFonts w:hint="eastAsia"/>
        </w:rPr>
        <w:t>填写此表时不得改变表格的形式。</w:t>
      </w:r>
    </w:p>
    <w:p w14:paraId="5E0CA0D7">
      <w:pPr>
        <w:pStyle w:val="6"/>
        <w:numPr>
          <w:ilvl w:val="0"/>
          <w:numId w:val="7"/>
        </w:numPr>
        <w:spacing w:line="0" w:lineRule="atLeast"/>
        <w:rPr>
          <w:rFonts w:hint="eastAsia" w:hAnsi="宋体"/>
        </w:rPr>
      </w:pPr>
      <w:r>
        <w:rPr>
          <w:rFonts w:hint="eastAsia"/>
        </w:rPr>
        <w:t>以上表中内容必须计算机录入、填写、打印。手写按无效报价处理。</w:t>
      </w:r>
    </w:p>
    <w:p w14:paraId="5EB96584">
      <w:pPr>
        <w:pStyle w:val="6"/>
        <w:numPr>
          <w:ilvl w:val="0"/>
          <w:numId w:val="7"/>
        </w:numPr>
        <w:spacing w:line="0" w:lineRule="atLeast"/>
      </w:pPr>
      <w:r>
        <w:rPr>
          <w:rFonts w:hint="eastAsia"/>
        </w:rPr>
        <w:t>必须满足服务内容等服务要求。</w:t>
      </w:r>
    </w:p>
    <w:p w14:paraId="559446D6">
      <w:pPr>
        <w:pStyle w:val="6"/>
        <w:spacing w:line="0" w:lineRule="atLeast"/>
        <w:ind w:left="336"/>
        <w:rPr>
          <w:rFonts w:hint="eastAsia" w:hAnsi="宋体"/>
          <w:color w:val="FF0000"/>
        </w:rPr>
      </w:pPr>
    </w:p>
    <w:p w14:paraId="78ED5A0C"/>
    <w:p w14:paraId="6CE467FB"/>
    <w:p w14:paraId="36BBD847">
      <w:pPr>
        <w:spacing w:line="480" w:lineRule="exact"/>
        <w:ind w:left="4599" w:leftChars="2190" w:firstLine="240" w:firstLineChars="100"/>
        <w:rPr>
          <w:rFonts w:hint="eastAsia" w:ascii="宋体" w:hAnsi="宋体" w:cs="宋体"/>
          <w:sz w:val="24"/>
        </w:rPr>
      </w:pPr>
    </w:p>
    <w:p w14:paraId="3EDCFA39">
      <w:pPr>
        <w:spacing w:line="480" w:lineRule="exact"/>
        <w:ind w:firstLine="4560" w:firstLineChars="1900"/>
        <w:rPr>
          <w:rFonts w:hint="eastAsia" w:ascii="宋体" w:hAnsi="宋体" w:cs="宋体"/>
          <w:sz w:val="24"/>
        </w:rPr>
      </w:pPr>
      <w:r>
        <w:rPr>
          <w:rFonts w:hint="eastAsia" w:ascii="宋体" w:hAnsi="宋体" w:cs="宋体"/>
          <w:sz w:val="24"/>
        </w:rPr>
        <w:t>投标人（公章）：</w:t>
      </w:r>
    </w:p>
    <w:p w14:paraId="795F18C4">
      <w:pPr>
        <w:spacing w:line="480" w:lineRule="exact"/>
        <w:ind w:firstLine="4560" w:firstLineChars="1900"/>
        <w:rPr>
          <w:rFonts w:hint="eastAsia" w:ascii="宋体" w:hAnsi="宋体" w:cs="宋体"/>
          <w:sz w:val="24"/>
        </w:rPr>
      </w:pPr>
      <w:r>
        <w:rPr>
          <w:rFonts w:hint="eastAsia" w:ascii="宋体" w:hAnsi="宋体" w:cs="宋体"/>
          <w:sz w:val="24"/>
        </w:rPr>
        <w:t>投标人地址：</w:t>
      </w:r>
    </w:p>
    <w:p w14:paraId="2D60A608">
      <w:pPr>
        <w:spacing w:line="480" w:lineRule="exact"/>
        <w:ind w:left="4549" w:leftChars="2166"/>
        <w:rPr>
          <w:rFonts w:hint="eastAsia" w:ascii="宋体" w:hAnsi="宋体" w:cs="宋体"/>
          <w:sz w:val="24"/>
        </w:rPr>
      </w:pPr>
      <w:r>
        <w:rPr>
          <w:rFonts w:hint="eastAsia" w:ascii="宋体" w:hAnsi="宋体" w:cs="宋体"/>
          <w:sz w:val="24"/>
        </w:rPr>
        <w:t>法定代表人或代理人姓名（手写签名）：</w:t>
      </w:r>
    </w:p>
    <w:p w14:paraId="1E710CAC">
      <w:pPr>
        <w:spacing w:line="480" w:lineRule="exact"/>
        <w:ind w:firstLine="480" w:firstLineChars="200"/>
        <w:rPr>
          <w:rFonts w:hint="eastAsia" w:ascii="宋体" w:hAnsi="宋体" w:cs="宋体"/>
          <w:sz w:val="24"/>
        </w:rPr>
      </w:pPr>
      <w:r>
        <w:rPr>
          <w:rFonts w:hint="eastAsia" w:ascii="宋体" w:hAnsi="宋体" w:cs="宋体"/>
          <w:sz w:val="24"/>
        </w:rPr>
        <w:t xml:space="preserve">                                  身份证号码：</w:t>
      </w:r>
    </w:p>
    <w:p w14:paraId="55AF518A">
      <w:pPr>
        <w:spacing w:line="480" w:lineRule="exact"/>
        <w:ind w:firstLine="4560" w:firstLineChars="1900"/>
        <w:rPr>
          <w:rFonts w:hint="eastAsia" w:ascii="宋体" w:hAnsi="宋体" w:cs="宋体"/>
          <w:sz w:val="24"/>
        </w:rPr>
      </w:pPr>
      <w:r>
        <w:rPr>
          <w:rFonts w:hint="eastAsia" w:ascii="宋体" w:hAnsi="宋体" w:cs="宋体"/>
          <w:sz w:val="24"/>
        </w:rPr>
        <w:t>联系电话：</w:t>
      </w:r>
    </w:p>
    <w:p w14:paraId="25F031A4">
      <w:pPr>
        <w:spacing w:line="480" w:lineRule="exact"/>
        <w:ind w:firstLine="4560" w:firstLineChars="1900"/>
        <w:rPr>
          <w:rFonts w:hint="eastAsia" w:ascii="宋体" w:hAnsi="宋体" w:cs="宋体"/>
          <w:sz w:val="24"/>
        </w:rPr>
      </w:pPr>
      <w:r>
        <w:rPr>
          <w:rFonts w:hint="eastAsia" w:ascii="宋体" w:hAnsi="宋体" w:cs="宋体"/>
          <w:sz w:val="24"/>
        </w:rPr>
        <w:t>日    期：</w:t>
      </w:r>
    </w:p>
    <w:p w14:paraId="1FAB622A">
      <w:pPr>
        <w:rPr>
          <w:rFonts w:hint="eastAsia" w:ascii="宋体" w:hAnsi="宋体" w:cs="宋体"/>
          <w:sz w:val="24"/>
        </w:rPr>
      </w:pPr>
    </w:p>
    <w:p w14:paraId="0A115128">
      <w:pPr>
        <w:rPr>
          <w:rFonts w:hint="eastAsia" w:ascii="宋体" w:hAnsi="宋体" w:cs="宋体"/>
          <w:sz w:val="24"/>
        </w:rPr>
      </w:pPr>
    </w:p>
    <w:p w14:paraId="2BA79E56">
      <w:pPr>
        <w:pStyle w:val="9"/>
      </w:pPr>
    </w:p>
    <w:p w14:paraId="3E0CA950">
      <w:pPr>
        <w:rPr>
          <w:rFonts w:hint="eastAsia" w:ascii="宋体" w:hAnsi="宋体" w:cs="宋体"/>
          <w:b/>
          <w:sz w:val="24"/>
        </w:rPr>
      </w:pPr>
      <w:r>
        <w:rPr>
          <w:rFonts w:hint="eastAsia" w:ascii="宋体" w:hAnsi="宋体" w:cs="宋体"/>
          <w:b/>
          <w:sz w:val="24"/>
        </w:rPr>
        <w:t>（注：本报价表为</w:t>
      </w:r>
      <w:r>
        <w:rPr>
          <w:rFonts w:hint="eastAsia" w:ascii="宋体" w:hAnsi="宋体" w:cs="宋体"/>
          <w:b/>
          <w:sz w:val="24"/>
          <w:u w:val="single"/>
        </w:rPr>
        <w:t>必要文件</w:t>
      </w:r>
      <w:r>
        <w:rPr>
          <w:rFonts w:hint="eastAsia" w:ascii="宋体" w:hAnsi="宋体" w:cs="宋体"/>
          <w:b/>
          <w:sz w:val="24"/>
        </w:rPr>
        <w:t>，必须</w:t>
      </w:r>
      <w:r>
        <w:rPr>
          <w:rFonts w:hint="eastAsia" w:ascii="宋体" w:hAnsi="宋体" w:cs="宋体"/>
          <w:b/>
          <w:sz w:val="24"/>
          <w:u w:val="single"/>
        </w:rPr>
        <w:t>加盖投标人公章</w:t>
      </w:r>
      <w:r>
        <w:rPr>
          <w:rFonts w:hint="eastAsia" w:ascii="宋体" w:hAnsi="宋体" w:cs="宋体"/>
          <w:b/>
          <w:sz w:val="24"/>
        </w:rPr>
        <w:t>，必须有法定代表人或代理人</w:t>
      </w:r>
      <w:r>
        <w:rPr>
          <w:rFonts w:hint="eastAsia" w:ascii="宋体" w:hAnsi="宋体" w:cs="宋体"/>
          <w:b/>
          <w:sz w:val="24"/>
          <w:u w:val="single"/>
        </w:rPr>
        <w:t>亲笔签名</w:t>
      </w:r>
      <w:r>
        <w:rPr>
          <w:rFonts w:hint="eastAsia" w:ascii="宋体" w:hAnsi="宋体" w:cs="宋体"/>
          <w:b/>
          <w:sz w:val="24"/>
        </w:rPr>
        <w:t>，否则，作无效处理）</w:t>
      </w:r>
    </w:p>
    <w:p w14:paraId="0819E9C2">
      <w:pPr>
        <w:rPr>
          <w:rFonts w:hint="eastAsia" w:ascii="宋体" w:hAnsi="宋体" w:cs="宋体"/>
          <w:b/>
          <w:sz w:val="24"/>
        </w:rPr>
      </w:pPr>
      <w:r>
        <w:rPr>
          <w:rFonts w:hint="eastAsia" w:ascii="宋体" w:hAnsi="宋体" w:cs="宋体"/>
          <w:b/>
          <w:sz w:val="24"/>
        </w:rPr>
        <w:br w:type="page"/>
      </w:r>
    </w:p>
    <w:p w14:paraId="130393C3">
      <w:pPr>
        <w:rPr>
          <w:rFonts w:hint="eastAsia" w:ascii="宋体" w:hAnsi="宋体" w:cs="宋体"/>
          <w:b/>
          <w:sz w:val="24"/>
        </w:rPr>
      </w:pPr>
      <w:r>
        <w:rPr>
          <w:rFonts w:hint="eastAsia" w:ascii="宋体" w:hAnsi="宋体" w:cs="宋体"/>
          <w:b/>
          <w:sz w:val="24"/>
        </w:rPr>
        <w:t>附件2</w:t>
      </w:r>
    </w:p>
    <w:p w14:paraId="200E6EFA">
      <w:pPr>
        <w:spacing w:line="560" w:lineRule="exact"/>
        <w:jc w:val="center"/>
        <w:rPr>
          <w:rFonts w:hint="eastAsia" w:ascii="宋体" w:hAnsi="宋体"/>
          <w:b/>
          <w:sz w:val="28"/>
          <w:szCs w:val="28"/>
        </w:rPr>
      </w:pPr>
      <w:r>
        <w:rPr>
          <w:rFonts w:hint="eastAsia" w:ascii="宋体" w:hAnsi="宋体"/>
          <w:b/>
          <w:sz w:val="28"/>
          <w:szCs w:val="28"/>
        </w:rPr>
        <w:t xml:space="preserve">报价明细表    </w:t>
      </w:r>
    </w:p>
    <w:p w14:paraId="2BC22029">
      <w:pPr>
        <w:spacing w:line="560" w:lineRule="exact"/>
        <w:jc w:val="center"/>
        <w:rPr>
          <w:rFonts w:hint="eastAsia" w:ascii="宋体" w:hAnsi="宋体"/>
          <w:sz w:val="22"/>
        </w:rPr>
      </w:pPr>
      <w:r>
        <w:rPr>
          <w:rFonts w:hint="eastAsia" w:ascii="宋体" w:hAnsi="宋体"/>
          <w:b/>
          <w:sz w:val="28"/>
          <w:szCs w:val="28"/>
        </w:rPr>
        <w:t xml:space="preserve">                                             </w:t>
      </w:r>
      <w:r>
        <w:rPr>
          <w:rFonts w:hint="eastAsia" w:ascii="宋体" w:hAnsi="宋体"/>
          <w:sz w:val="22"/>
        </w:rPr>
        <w:t>货币单位：人民币元</w:t>
      </w:r>
    </w:p>
    <w:tbl>
      <w:tblPr>
        <w:tblStyle w:val="12"/>
        <w:tblW w:w="5593" w:type="pct"/>
        <w:jc w:val="center"/>
        <w:tblLayout w:type="fixed"/>
        <w:tblCellMar>
          <w:top w:w="0" w:type="dxa"/>
          <w:left w:w="108" w:type="dxa"/>
          <w:bottom w:w="0" w:type="dxa"/>
          <w:right w:w="108" w:type="dxa"/>
        </w:tblCellMar>
      </w:tblPr>
      <w:tblGrid>
        <w:gridCol w:w="1173"/>
        <w:gridCol w:w="5811"/>
        <w:gridCol w:w="476"/>
        <w:gridCol w:w="465"/>
        <w:gridCol w:w="825"/>
        <w:gridCol w:w="783"/>
      </w:tblGrid>
      <w:tr w14:paraId="0977B1A7">
        <w:tblPrEx>
          <w:tblCellMar>
            <w:top w:w="0" w:type="dxa"/>
            <w:left w:w="108" w:type="dxa"/>
            <w:bottom w:w="0" w:type="dxa"/>
            <w:right w:w="108" w:type="dxa"/>
          </w:tblCellMar>
        </w:tblPrEx>
        <w:trPr>
          <w:trHeight w:val="601" w:hRule="atLeast"/>
          <w:jc w:val="center"/>
        </w:trPr>
        <w:tc>
          <w:tcPr>
            <w:tcW w:w="6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5D7B09">
            <w:pPr>
              <w:widowControl/>
              <w:jc w:val="center"/>
              <w:textAlignment w:val="center"/>
              <w:rPr>
                <w:rFonts w:hint="eastAsia" w:ascii="宋体" w:hAnsi="宋体" w:eastAsia="宋体" w:cs="宋体"/>
                <w:b/>
                <w:bCs/>
                <w:color w:val="000000"/>
                <w:sz w:val="24"/>
              </w:rPr>
            </w:pPr>
            <w:r>
              <w:rPr>
                <w:rFonts w:hint="eastAsia" w:ascii="宋体" w:hAnsi="宋体" w:eastAsia="宋体" w:cs="宋体"/>
                <w:b/>
                <w:bCs/>
                <w:color w:val="000000"/>
                <w:kern w:val="0"/>
                <w:sz w:val="24"/>
                <w:lang w:bidi="ar"/>
              </w:rPr>
              <w:t>名称</w:t>
            </w:r>
          </w:p>
        </w:tc>
        <w:tc>
          <w:tcPr>
            <w:tcW w:w="30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9313CF">
            <w:pPr>
              <w:widowControl/>
              <w:jc w:val="center"/>
              <w:textAlignment w:val="center"/>
              <w:rPr>
                <w:rFonts w:hint="eastAsia" w:ascii="宋体" w:hAnsi="宋体" w:eastAsia="宋体" w:cs="宋体"/>
                <w:b/>
                <w:bCs/>
                <w:color w:val="000000"/>
                <w:sz w:val="24"/>
              </w:rPr>
            </w:pPr>
            <w:r>
              <w:rPr>
                <w:rFonts w:hint="eastAsia" w:ascii="宋体" w:hAnsi="宋体" w:eastAsia="宋体" w:cs="宋体"/>
                <w:b/>
                <w:bCs/>
                <w:color w:val="000000"/>
                <w:kern w:val="0"/>
                <w:sz w:val="24"/>
                <w:lang w:bidi="ar"/>
              </w:rPr>
              <w:t>具体参数</w:t>
            </w:r>
          </w:p>
        </w:tc>
        <w:tc>
          <w:tcPr>
            <w:tcW w:w="2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30E9BA">
            <w:pPr>
              <w:widowControl/>
              <w:jc w:val="center"/>
              <w:textAlignment w:val="center"/>
              <w:rPr>
                <w:rFonts w:hint="eastAsia" w:ascii="宋体" w:hAnsi="宋体" w:eastAsia="宋体" w:cs="宋体"/>
                <w:b/>
                <w:bCs/>
                <w:color w:val="000000"/>
                <w:sz w:val="24"/>
              </w:rPr>
            </w:pPr>
            <w:r>
              <w:rPr>
                <w:rFonts w:hint="eastAsia" w:ascii="宋体" w:hAnsi="宋体" w:eastAsia="宋体" w:cs="宋体"/>
                <w:b/>
                <w:bCs/>
                <w:color w:val="000000"/>
                <w:kern w:val="0"/>
                <w:sz w:val="24"/>
                <w:lang w:bidi="ar"/>
              </w:rPr>
              <w:t>数量</w:t>
            </w:r>
          </w:p>
        </w:tc>
        <w:tc>
          <w:tcPr>
            <w:tcW w:w="2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4C1DFA">
            <w:pPr>
              <w:widowControl/>
              <w:jc w:val="center"/>
              <w:textAlignment w:val="center"/>
              <w:rPr>
                <w:rFonts w:hint="eastAsia" w:ascii="宋体" w:hAnsi="宋体" w:eastAsia="宋体" w:cs="宋体"/>
                <w:b/>
                <w:bCs/>
                <w:color w:val="000000"/>
                <w:sz w:val="24"/>
              </w:rPr>
            </w:pPr>
            <w:r>
              <w:rPr>
                <w:rFonts w:hint="eastAsia" w:ascii="宋体" w:hAnsi="宋体" w:eastAsia="宋体" w:cs="宋体"/>
                <w:b/>
                <w:bCs/>
                <w:color w:val="000000"/>
                <w:kern w:val="0"/>
                <w:sz w:val="24"/>
                <w:lang w:bidi="ar"/>
              </w:rPr>
              <w:t>单位</w:t>
            </w:r>
          </w:p>
        </w:tc>
        <w:tc>
          <w:tcPr>
            <w:tcW w:w="4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FB039E">
            <w:pPr>
              <w:widowControl/>
              <w:jc w:val="center"/>
              <w:textAlignment w:val="center"/>
              <w:rPr>
                <w:rFonts w:hint="eastAsia" w:ascii="宋体" w:hAnsi="宋体" w:eastAsia="宋体" w:cs="宋体"/>
                <w:b/>
                <w:bCs/>
                <w:color w:val="000000"/>
                <w:kern w:val="0"/>
                <w:sz w:val="24"/>
                <w:lang w:val="en-US" w:eastAsia="zh-CN" w:bidi="ar"/>
              </w:rPr>
            </w:pPr>
            <w:r>
              <w:rPr>
                <w:rFonts w:hint="eastAsia" w:ascii="宋体" w:hAnsi="宋体" w:eastAsia="宋体" w:cs="宋体"/>
                <w:b/>
                <w:bCs/>
                <w:color w:val="000000"/>
                <w:kern w:val="0"/>
                <w:sz w:val="21"/>
                <w:szCs w:val="21"/>
                <w:lang w:val="en-US" w:eastAsia="zh-CN" w:bidi="ar"/>
              </w:rPr>
              <w:t>单价（元）</w:t>
            </w:r>
          </w:p>
        </w:tc>
        <w:tc>
          <w:tcPr>
            <w:tcW w:w="4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F893B8">
            <w:pPr>
              <w:widowControl/>
              <w:jc w:val="center"/>
              <w:textAlignment w:val="center"/>
              <w:rPr>
                <w:rFonts w:hint="eastAsia" w:ascii="宋体" w:hAnsi="宋体" w:eastAsia="宋体" w:cs="宋体"/>
                <w:b/>
                <w:bCs/>
                <w:color w:val="000000"/>
                <w:kern w:val="0"/>
                <w:sz w:val="24"/>
                <w:lang w:bidi="ar"/>
              </w:rPr>
            </w:pPr>
            <w:r>
              <w:rPr>
                <w:rFonts w:hint="eastAsia" w:ascii="宋体" w:hAnsi="宋体" w:eastAsia="宋体" w:cs="宋体"/>
                <w:b/>
                <w:bCs/>
                <w:color w:val="000000"/>
                <w:kern w:val="0"/>
                <w:sz w:val="21"/>
                <w:szCs w:val="21"/>
                <w:lang w:val="en-US" w:eastAsia="zh-CN" w:bidi="ar"/>
              </w:rPr>
              <w:t>总价（元）</w:t>
            </w:r>
          </w:p>
        </w:tc>
      </w:tr>
      <w:tr w14:paraId="190753CA">
        <w:tblPrEx>
          <w:tblCellMar>
            <w:top w:w="0" w:type="dxa"/>
            <w:left w:w="108" w:type="dxa"/>
            <w:bottom w:w="0" w:type="dxa"/>
            <w:right w:w="108" w:type="dxa"/>
          </w:tblCellMar>
        </w:tblPrEx>
        <w:trPr>
          <w:trHeight w:val="90" w:hRule="atLeast"/>
          <w:jc w:val="center"/>
        </w:trPr>
        <w:tc>
          <w:tcPr>
            <w:tcW w:w="6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A442C9">
            <w:pPr>
              <w:widowControl/>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出入口一体机</w:t>
            </w:r>
          </w:p>
        </w:tc>
        <w:tc>
          <w:tcPr>
            <w:tcW w:w="30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1DE50A">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1. 记录存储容量：支持 20万条（脱机）</w:t>
            </w:r>
          </w:p>
          <w:p w14:paraId="19B2CD8F">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2. 用户存储容量：支持5万条（脱机）</w:t>
            </w:r>
          </w:p>
          <w:p w14:paraId="27AC16EA">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3. 图片存储容量：支持500张（脱机）</w:t>
            </w:r>
          </w:p>
          <w:p w14:paraId="6706EE67">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4. 内核CPU：四核高频处理器，2G内存，Linux操作系统</w:t>
            </w:r>
            <w:bookmarkStart w:id="0" w:name="_GoBack"/>
            <w:bookmarkEnd w:id="0"/>
          </w:p>
          <w:p w14:paraId="0F8FADD3">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5. 通讯方式：支持 TCP/IP、4G（选配）， 有线/无线智能互切</w:t>
            </w:r>
          </w:p>
          <w:p w14:paraId="4CB81307">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6. ▲显示屏：21.5寸工业级LCD显示屏，屏幕尺寸更大，交互体验更佳</w:t>
            </w:r>
          </w:p>
          <w:p w14:paraId="5B41D680">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亮度最高支持1000LUX，行业领先，扫码效果更好，75°高温正常显示（投标人或投标产品厂商须提供相关内容的具有CMA、CNAS认证标识的第三方检测报告复印件，并加盖公章）</w:t>
            </w:r>
          </w:p>
          <w:p w14:paraId="54B74976">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7. ▲内置摄像头：500W高清摄像头，小尺寸、高集成（投标人或投标产品厂商须提供相关内容的具有CMA、CNAS认证标识的第三方检测报告复印件，并加盖公章）</w:t>
            </w:r>
          </w:p>
          <w:p w14:paraId="16FCCCFE">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▲镜头：4.3mm定焦镜头(选配8mm)，传感器：1/2.8''超低照度CMOS传感器；</w:t>
            </w:r>
          </w:p>
          <w:p w14:paraId="4A094516">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▲500万像素，最低照度支持0.001lux@F1.6，视频压缩格式：H.265/ H.264，最大分辨率：2560*1920；（投标人或投标产品厂商须提供相关内容的具有CMA、CNAS认证标识的第三方检测报告复印件，并加盖公章）</w:t>
            </w:r>
          </w:p>
          <w:p w14:paraId="07B23BEF">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支持主次码流设置、编码格式支持H.264/265，可变/固定码流，默认分辨率下默认码流6144kbps(5M)，</w:t>
            </w:r>
          </w:p>
          <w:p w14:paraId="11143BA5">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▲500W超广角，识别纵深可达10米，对角成像角度≥110°轻松覆盖整个车道（投标人或投标产品厂商须提供相关内容的具有CMA、CNAS认证标识的第三方检测报告复印件，并加盖公章）</w:t>
            </w:r>
          </w:p>
          <w:p w14:paraId="5CBBEABC">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▲摄像头数据传输方式：MIPI，数据高速传输、低功耗（投标人或投标产品厂商须提供相关内容的具有CMA、CNAS认证标识的第三方检测报告复印件，并加盖公章）</w:t>
            </w:r>
          </w:p>
          <w:p w14:paraId="295417AD">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▲左右免调，上下±18°可调，适应各种特殊车道（投标人或投标产品厂商须提供相关内容的具有CMA、CNAS认证标识的第三方检测报告复印件，并加盖公章）</w:t>
            </w:r>
          </w:p>
          <w:p w14:paraId="25A05BD3">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▲三防设计：三防摄像头模组，防水、防尘、防凝露遮雨罩伸缩可调节，保证雨雾天气精准识别（投标人或投标产品厂商须提供相关内容的具有CMA、CNAS认证标识的第三方检测报告复印件，并加盖公章）</w:t>
            </w:r>
          </w:p>
          <w:p w14:paraId="61727ECD">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8. 广告显示： LCD支持广告播放，可播放png、bmp、jpg、jpeg格式图片，2~5秒轮播播放，可支持用户自定义，可支持0~20张图片</w:t>
            </w:r>
          </w:p>
          <w:p w14:paraId="6173FD4C">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9. 显示交互信息：可支持智能化、行业化、情景化的可自定义显示交互；</w:t>
            </w:r>
          </w:p>
          <w:p w14:paraId="45B4E939">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10. 内置补光灯：</w:t>
            </w:r>
          </w:p>
          <w:p w14:paraId="6DDBE696">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全自动补光，淡黄暖光色系，保证识别效果的同时，保护车主眼睛，不刺眼，不晃眼</w:t>
            </w:r>
          </w:p>
          <w:p w14:paraId="7FF87AC8">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高亮LED灯10颗灯珠，功率6W，光敏开关控制（外置式）</w:t>
            </w:r>
          </w:p>
          <w:p w14:paraId="4B165E5E">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补光距离：5m处光照大于50LUX</w:t>
            </w:r>
          </w:p>
          <w:p w14:paraId="7E6557CF">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（投标人或投标产品厂商须提供相关内容的具有CMA、CNAS认证标识的第三方检测报告复印件，并加盖公章）</w:t>
            </w:r>
          </w:p>
          <w:p w14:paraId="4E66F836">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11. 语音提示： 自带TTS语音库，支持智能化、行业化、情景化的可自定义语音提示</w:t>
            </w:r>
          </w:p>
          <w:p w14:paraId="541E6C4D">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12. 收费模式： 中央自助缴费、中央人工收费、出口自助缴费、出口人工缴费、手机缴费</w:t>
            </w:r>
          </w:p>
          <w:p w14:paraId="47A8990A">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13. 支付方式：扫码付</w:t>
            </w:r>
          </w:p>
          <w:p w14:paraId="0AA75E23">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14. 通行凭证：车牌、静态/动态二维码</w:t>
            </w:r>
          </w:p>
          <w:p w14:paraId="08949C5A">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15. 双路协调：支持两路车牌识别相机</w:t>
            </w:r>
          </w:p>
          <w:p w14:paraId="13DB406F">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16. 对接网络道闸： 支持IP/IO道闸，支持双道闸应用，支持单通道共用道闸车场模式</w:t>
            </w:r>
          </w:p>
          <w:p w14:paraId="63568D49">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17. 支持视频/地感触发抓拍、识别，支持虚拟地感触发</w:t>
            </w:r>
          </w:p>
          <w:p w14:paraId="3F5528E2">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18. 车牌识别率(白天): ≥99.9%</w:t>
            </w:r>
          </w:p>
          <w:p w14:paraId="201D7E4C">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19. 车牌识别率(夜晚/黑天/光线弱配合补光灯条件下): ≥99.7%</w:t>
            </w:r>
          </w:p>
          <w:p w14:paraId="110C04EC">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20. 车牌颜色识别率: 全天候≥99%</w:t>
            </w:r>
          </w:p>
          <w:p w14:paraId="14E063F6">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21. 车牌捕获率：视频流触发≥99.9%</w:t>
            </w:r>
          </w:p>
          <w:p w14:paraId="5BAC8CE9">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22. 车牌识别车速：≤40km/h</w:t>
            </w:r>
          </w:p>
          <w:p w14:paraId="786A099C">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23. 车牌识范围:全系车牌，含黑牌、黄牌、蓝牌、白牌、民用车牌、港澳牌、警牌、武警牌、军牌、民航、使馆牌、领事馆牌、新使馆牌、新领事馆牌、新能源牌的全汉字、字母、数字识别以及特殊个性车牌等</w:t>
            </w:r>
          </w:p>
          <w:p w14:paraId="308FC796">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24. 相似字符识别：正确识别车牌中的汉字、字母及数字，相似的省份汉字、字母识别率可达99%以上</w:t>
            </w:r>
          </w:p>
          <w:p w14:paraId="70B47907">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25. 支持识别车牌宽度：像数100-600范围内，可正常识别</w:t>
            </w:r>
          </w:p>
          <w:p w14:paraId="012E31F7">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26. 参数设置：支持识别区域、屏蔽区域、车牌识别大小、动态默认省份等设置</w:t>
            </w:r>
          </w:p>
          <w:p w14:paraId="67D6E23A">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27. ▲识别效果：最大识别角度78°，雨、雾识别率≥98%（投标人或投标产品厂商须提供相关内容的具有CMA、CNAS认证标识的第三方检测报告复印件，并加盖公章）</w:t>
            </w:r>
          </w:p>
          <w:p w14:paraId="12FF40F8">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28. ▲防伪能力：纸打车牌防伪率≥95%，手机车牌防伪率≥98%，（投标人或投标产品厂商须提供相关内容的具有CMA、CNAS认证标识的第三方检测报告复印件，并加盖公章）</w:t>
            </w:r>
          </w:p>
          <w:p w14:paraId="0177D383">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29. ▲车牌识别识速度（含防伪）≤0.5S；（投标人或投标产品厂商须提供相关内容的具有CMA、CNAS认证标识的第三方检测报告复印件，并加盖公章）</w:t>
            </w:r>
          </w:p>
          <w:p w14:paraId="0DDBED88">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30. ▲车牌识别识速度（不含防伪）≤0.3S；（投标人或投标产品厂商须提供相关内容的具有CMA、CNAS认证标识的第三方检测报告复印件，并加盖公章）</w:t>
            </w:r>
          </w:p>
        </w:tc>
        <w:tc>
          <w:tcPr>
            <w:tcW w:w="2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8E609F">
            <w:pPr>
              <w:widowControl/>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4</w:t>
            </w:r>
          </w:p>
        </w:tc>
        <w:tc>
          <w:tcPr>
            <w:tcW w:w="2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5E6D62">
            <w:pPr>
              <w:widowControl/>
              <w:jc w:val="center"/>
              <w:textAlignment w:val="center"/>
              <w:rPr>
                <w:rFonts w:hint="eastAsia" w:ascii="宋体" w:hAnsi="宋体" w:eastAsia="宋体" w:cs="宋体"/>
                <w:sz w:val="18"/>
                <w:szCs w:val="18"/>
              </w:rPr>
            </w:pPr>
            <w:r>
              <w:rPr>
                <w:rFonts w:hint="eastAsia" w:ascii="宋体" w:hAnsi="宋体" w:eastAsia="宋体" w:cs="宋体"/>
                <w:sz w:val="18"/>
                <w:szCs w:val="18"/>
              </w:rPr>
              <w:t>台</w:t>
            </w:r>
          </w:p>
        </w:tc>
        <w:tc>
          <w:tcPr>
            <w:tcW w:w="4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658DE6">
            <w:pPr>
              <w:widowControl/>
              <w:jc w:val="center"/>
              <w:textAlignment w:val="center"/>
              <w:rPr>
                <w:rFonts w:hint="eastAsia" w:ascii="宋体" w:hAnsi="宋体" w:eastAsia="宋体" w:cs="宋体"/>
                <w:sz w:val="18"/>
                <w:szCs w:val="18"/>
              </w:rPr>
            </w:pPr>
          </w:p>
        </w:tc>
        <w:tc>
          <w:tcPr>
            <w:tcW w:w="4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A96506">
            <w:pPr>
              <w:widowControl/>
              <w:jc w:val="center"/>
              <w:textAlignment w:val="center"/>
              <w:rPr>
                <w:rFonts w:hint="eastAsia" w:ascii="宋体" w:hAnsi="宋体" w:eastAsia="宋体" w:cs="宋体"/>
                <w:sz w:val="18"/>
                <w:szCs w:val="18"/>
              </w:rPr>
            </w:pPr>
          </w:p>
        </w:tc>
      </w:tr>
      <w:tr w14:paraId="6FB2B82F">
        <w:tblPrEx>
          <w:tblCellMar>
            <w:top w:w="0" w:type="dxa"/>
            <w:left w:w="108" w:type="dxa"/>
            <w:bottom w:w="0" w:type="dxa"/>
            <w:right w:w="108" w:type="dxa"/>
          </w:tblCellMar>
        </w:tblPrEx>
        <w:trPr>
          <w:trHeight w:val="13704" w:hRule="atLeast"/>
          <w:jc w:val="center"/>
        </w:trPr>
        <w:tc>
          <w:tcPr>
            <w:tcW w:w="6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02CE00">
            <w:pPr>
              <w:widowControl/>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道闸主机</w:t>
            </w:r>
          </w:p>
        </w:tc>
        <w:tc>
          <w:tcPr>
            <w:tcW w:w="30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6EB5EB">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1.电源电压：AC220 V±10%；</w:t>
            </w:r>
          </w:p>
          <w:p w14:paraId="43257547">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2.整机功率：≤150W；</w:t>
            </w:r>
          </w:p>
          <w:p w14:paraId="5644A340">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 xml:space="preserve">3.电机电压：DC 24V </w:t>
            </w:r>
          </w:p>
          <w:p w14:paraId="156EEC09">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4.▲杆型类型：直杆/曲杆/栅栏杆/发光杆（投标人或投标产品厂商须提供相关内容的具有CMA、CNAS认证标识的第三方检测报告复印件，并加盖公章）</w:t>
            </w:r>
          </w:p>
          <w:p w14:paraId="7CE76612">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5.电机类型：直流无刷，保障闸杆运行精确定位，平稳、低噪音（投标人或投标产品厂商须提供相关内容的具有CMA、CNAS认证标识的第三方检测报告复印件，并加盖公章）</w:t>
            </w:r>
          </w:p>
          <w:p w14:paraId="075D7D19">
            <w:pPr>
              <w:widowControl/>
              <w:jc w:val="left"/>
              <w:textAlignment w:val="center"/>
              <w:rPr>
                <w:rFonts w:hint="eastAsia" w:ascii="宋体" w:hAnsi="宋体" w:eastAsia="宋体" w:cs="宋体"/>
                <w:kern w:val="0"/>
                <w:sz w:val="18"/>
                <w:szCs w:val="18"/>
                <w:lang w:bidi="ar"/>
              </w:rPr>
            </w:pPr>
            <w:r>
              <w:rPr>
                <w:rFonts w:ascii="宋体" w:hAnsi="宋体" w:eastAsia="宋体" w:cs="宋体"/>
                <w:kern w:val="0"/>
                <w:sz w:val="18"/>
                <w:szCs w:val="18"/>
                <w:lang w:bidi="ar"/>
              </w:rPr>
              <w:t>6.</w:t>
            </w:r>
            <w:r>
              <w:rPr>
                <w:rFonts w:hint="eastAsia" w:ascii="宋体" w:hAnsi="宋体" w:eastAsia="宋体" w:cs="宋体"/>
                <w:kern w:val="0"/>
                <w:sz w:val="18"/>
                <w:szCs w:val="18"/>
                <w:lang w:bidi="ar"/>
              </w:rPr>
              <w:t>噪</w:t>
            </w:r>
            <w:r>
              <w:rPr>
                <w:rFonts w:hint="eastAsia" w:ascii="微软雅黑" w:hAnsi="微软雅黑" w:eastAsia="微软雅黑" w:cs="微软雅黑"/>
                <w:kern w:val="0"/>
                <w:sz w:val="18"/>
                <w:szCs w:val="18"/>
                <w:lang w:bidi="ar"/>
              </w:rPr>
              <w:t>⾳</w:t>
            </w:r>
            <w:r>
              <w:rPr>
                <w:rFonts w:hint="eastAsia" w:ascii="宋体" w:hAnsi="宋体" w:eastAsia="宋体" w:cs="宋体"/>
                <w:kern w:val="0"/>
                <w:sz w:val="18"/>
                <w:szCs w:val="18"/>
                <w:lang w:bidi="ar"/>
              </w:rPr>
              <w:t>要求：低于行业标准（≤</w:t>
            </w:r>
            <w:r>
              <w:rPr>
                <w:rFonts w:ascii="宋体" w:hAnsi="宋体" w:eastAsia="宋体" w:cs="宋体"/>
                <w:kern w:val="0"/>
                <w:sz w:val="18"/>
                <w:szCs w:val="18"/>
                <w:lang w:bidi="ar"/>
              </w:rPr>
              <w:t>70</w:t>
            </w:r>
            <w:r>
              <w:rPr>
                <w:rFonts w:hint="eastAsia" w:ascii="宋体" w:hAnsi="宋体" w:eastAsia="宋体" w:cs="宋体"/>
                <w:kern w:val="0"/>
                <w:sz w:val="18"/>
                <w:szCs w:val="18"/>
                <w:lang w:bidi="ar"/>
              </w:rPr>
              <w:t>分贝）</w:t>
            </w:r>
          </w:p>
          <w:p w14:paraId="3532FFBF">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7.机芯寿命：≥500万次</w:t>
            </w:r>
          </w:p>
          <w:p w14:paraId="18D858A0">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8.开闸速度：1.2s~4.5s可调</w:t>
            </w:r>
          </w:p>
          <w:p w14:paraId="2ED0483C">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9.▲效果灯光：暖光氛围灯+常亮LOGO（投标人或投标产品厂商须提供相关内容的具有CMA、CNAS认证标识的第三方检测报告复印件，并加盖公章）</w:t>
            </w:r>
          </w:p>
          <w:p w14:paraId="6BCB9382">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10.通信接口：TCP/IP、I/O</w:t>
            </w:r>
          </w:p>
          <w:p w14:paraId="73EE8500">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11.闸杆方向：支持左右向可选</w:t>
            </w:r>
          </w:p>
          <w:p w14:paraId="65EDB5DB">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12.标配地感，选配雷达或红外</w:t>
            </w:r>
          </w:p>
          <w:p w14:paraId="1F0DEC6B">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13.车辆防砸：采用“车辆检测”、“数字防砸”、“开优先”三重防砸设计（投标人或投标产品厂商须提供相关内容的具有CMA、CNAS认证标识的第三方检测报告复印件，并加盖公章）</w:t>
            </w:r>
          </w:p>
          <w:p w14:paraId="040ED641">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14.断电起落杆：机械锁死，需要打开机箱手动转动机械手柄</w:t>
            </w:r>
          </w:p>
          <w:p w14:paraId="68F34414">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15.道闸过流保护功能，防止电机堵转产生过大电流将电路板或电机损坏（投标人或投标产品厂商须提供相关内容的具有CMA、CNAS认证标识的第三方检测报告复印件，并加盖公章）</w:t>
            </w:r>
          </w:p>
          <w:p w14:paraId="17CDB33A">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16.采用“故障自检报警提示”技术，方使产品维护</w:t>
            </w:r>
          </w:p>
          <w:p w14:paraId="359D072B">
            <w:pPr>
              <w:widowControl/>
              <w:jc w:val="left"/>
              <w:textAlignment w:val="center"/>
              <w:rPr>
                <w:rFonts w:hint="eastAsia" w:ascii="宋体" w:hAnsi="宋体" w:eastAsia="宋体" w:cs="宋体"/>
                <w:kern w:val="0"/>
                <w:sz w:val="18"/>
                <w:szCs w:val="18"/>
                <w:lang w:bidi="ar"/>
              </w:rPr>
            </w:pPr>
            <w:r>
              <w:rPr>
                <w:rFonts w:ascii="宋体" w:hAnsi="宋体" w:eastAsia="宋体" w:cs="宋体"/>
                <w:kern w:val="0"/>
                <w:sz w:val="18"/>
                <w:szCs w:val="18"/>
                <w:lang w:bidi="ar"/>
              </w:rPr>
              <w:t>17.</w:t>
            </w:r>
            <w:r>
              <w:rPr>
                <w:rFonts w:hint="eastAsia" w:ascii="宋体" w:hAnsi="宋体" w:eastAsia="宋体" w:cs="宋体"/>
                <w:kern w:val="0"/>
                <w:sz w:val="18"/>
                <w:szCs w:val="18"/>
                <w:lang w:bidi="ar"/>
              </w:rPr>
              <w:t>工作温度：</w:t>
            </w:r>
            <w:r>
              <w:rPr>
                <w:rFonts w:ascii="宋体" w:hAnsi="宋体" w:eastAsia="宋体" w:cs="宋体"/>
                <w:kern w:val="0"/>
                <w:sz w:val="18"/>
                <w:szCs w:val="18"/>
                <w:lang w:bidi="ar"/>
              </w:rPr>
              <w:t>-25</w:t>
            </w:r>
            <w:r>
              <w:rPr>
                <w:rFonts w:hint="eastAsia" w:ascii="宋体" w:hAnsi="宋体" w:eastAsia="宋体" w:cs="宋体"/>
                <w:kern w:val="0"/>
                <w:sz w:val="18"/>
                <w:szCs w:val="18"/>
                <w:lang w:bidi="ar"/>
              </w:rPr>
              <w:t>℃</w:t>
            </w:r>
            <w:r>
              <w:rPr>
                <w:rFonts w:hint="eastAsia" w:ascii="微软雅黑" w:hAnsi="微软雅黑" w:eastAsia="微软雅黑" w:cs="微软雅黑"/>
                <w:kern w:val="0"/>
                <w:sz w:val="18"/>
                <w:szCs w:val="18"/>
                <w:lang w:bidi="ar"/>
              </w:rPr>
              <w:t>〜</w:t>
            </w:r>
            <w:r>
              <w:rPr>
                <w:rFonts w:ascii="宋体" w:hAnsi="宋体" w:eastAsia="宋体" w:cs="宋体"/>
                <w:kern w:val="0"/>
                <w:sz w:val="18"/>
                <w:szCs w:val="18"/>
                <w:lang w:bidi="ar"/>
              </w:rPr>
              <w:t>70</w:t>
            </w:r>
            <w:r>
              <w:rPr>
                <w:rFonts w:hint="eastAsia" w:ascii="宋体" w:hAnsi="宋体" w:eastAsia="宋体" w:cs="宋体"/>
                <w:kern w:val="0"/>
                <w:sz w:val="18"/>
                <w:szCs w:val="18"/>
                <w:lang w:bidi="ar"/>
              </w:rPr>
              <w:t>℃</w:t>
            </w:r>
          </w:p>
          <w:p w14:paraId="2DB02416">
            <w:pPr>
              <w:widowControl/>
              <w:jc w:val="left"/>
              <w:textAlignment w:val="center"/>
              <w:rPr>
                <w:rFonts w:hint="eastAsia" w:ascii="宋体" w:hAnsi="宋体" w:eastAsia="宋体" w:cs="宋体"/>
                <w:kern w:val="0"/>
                <w:sz w:val="18"/>
                <w:szCs w:val="18"/>
                <w:lang w:bidi="ar"/>
              </w:rPr>
            </w:pPr>
            <w:r>
              <w:rPr>
                <w:rFonts w:ascii="宋体" w:hAnsi="宋体" w:eastAsia="宋体" w:cs="宋体"/>
                <w:kern w:val="0"/>
                <w:sz w:val="18"/>
                <w:szCs w:val="18"/>
                <w:lang w:bidi="ar"/>
              </w:rPr>
              <w:t>18.</w:t>
            </w:r>
            <w:r>
              <w:rPr>
                <w:rFonts w:hint="eastAsia" w:ascii="宋体" w:hAnsi="宋体" w:eastAsia="宋体" w:cs="宋体"/>
                <w:kern w:val="0"/>
                <w:sz w:val="18"/>
                <w:szCs w:val="18"/>
                <w:lang w:bidi="ar"/>
              </w:rPr>
              <w:t>存储温度：</w:t>
            </w:r>
            <w:r>
              <w:rPr>
                <w:rFonts w:ascii="宋体" w:hAnsi="宋体" w:eastAsia="宋体" w:cs="宋体"/>
                <w:kern w:val="0"/>
                <w:sz w:val="18"/>
                <w:szCs w:val="18"/>
                <w:lang w:bidi="ar"/>
              </w:rPr>
              <w:t>-35</w:t>
            </w:r>
            <w:r>
              <w:rPr>
                <w:rFonts w:hint="eastAsia" w:ascii="宋体" w:hAnsi="宋体" w:eastAsia="宋体" w:cs="宋体"/>
                <w:kern w:val="0"/>
                <w:sz w:val="18"/>
                <w:szCs w:val="18"/>
                <w:lang w:bidi="ar"/>
              </w:rPr>
              <w:t>℃</w:t>
            </w:r>
            <w:r>
              <w:rPr>
                <w:rFonts w:hint="eastAsia" w:ascii="微软雅黑" w:hAnsi="微软雅黑" w:eastAsia="微软雅黑" w:cs="微软雅黑"/>
                <w:kern w:val="0"/>
                <w:sz w:val="18"/>
                <w:szCs w:val="18"/>
                <w:lang w:bidi="ar"/>
              </w:rPr>
              <w:t>〜</w:t>
            </w:r>
            <w:r>
              <w:rPr>
                <w:rFonts w:ascii="宋体" w:hAnsi="宋体" w:eastAsia="宋体" w:cs="宋体"/>
                <w:kern w:val="0"/>
                <w:sz w:val="18"/>
                <w:szCs w:val="18"/>
                <w:lang w:bidi="ar"/>
              </w:rPr>
              <w:t>75</w:t>
            </w:r>
            <w:r>
              <w:rPr>
                <w:rFonts w:hint="eastAsia" w:ascii="宋体" w:hAnsi="宋体" w:eastAsia="宋体" w:cs="宋体"/>
                <w:kern w:val="0"/>
                <w:sz w:val="18"/>
                <w:szCs w:val="18"/>
                <w:lang w:bidi="ar"/>
              </w:rPr>
              <w:t>℃</w:t>
            </w:r>
          </w:p>
          <w:p w14:paraId="280464D4">
            <w:pPr>
              <w:widowControl/>
              <w:jc w:val="left"/>
              <w:textAlignment w:val="center"/>
              <w:rPr>
                <w:rFonts w:hint="eastAsia" w:ascii="宋体" w:hAnsi="宋体" w:eastAsia="宋体" w:cs="宋体"/>
                <w:kern w:val="0"/>
                <w:sz w:val="18"/>
                <w:szCs w:val="18"/>
                <w:lang w:bidi="ar"/>
              </w:rPr>
            </w:pPr>
            <w:r>
              <w:rPr>
                <w:rFonts w:ascii="宋体" w:hAnsi="宋体" w:eastAsia="宋体" w:cs="宋体"/>
                <w:kern w:val="0"/>
                <w:sz w:val="18"/>
                <w:szCs w:val="18"/>
                <w:lang w:bidi="ar"/>
              </w:rPr>
              <w:t>19.</w:t>
            </w:r>
            <w:r>
              <w:rPr>
                <w:rFonts w:hint="eastAsia" w:ascii="宋体" w:hAnsi="宋体" w:eastAsia="宋体" w:cs="宋体"/>
                <w:kern w:val="0"/>
                <w:sz w:val="18"/>
                <w:szCs w:val="18"/>
                <w:lang w:bidi="ar"/>
              </w:rPr>
              <w:t>工作湿度：≤</w:t>
            </w:r>
            <w:r>
              <w:rPr>
                <w:rFonts w:ascii="宋体" w:hAnsi="宋体" w:eastAsia="宋体" w:cs="宋体"/>
                <w:kern w:val="0"/>
                <w:sz w:val="18"/>
                <w:szCs w:val="18"/>
                <w:lang w:bidi="ar"/>
              </w:rPr>
              <w:t>90%</w:t>
            </w:r>
            <w:r>
              <w:rPr>
                <w:rFonts w:hint="eastAsia" w:ascii="宋体" w:hAnsi="宋体" w:eastAsia="宋体" w:cs="宋体"/>
                <w:kern w:val="0"/>
                <w:sz w:val="18"/>
                <w:szCs w:val="18"/>
                <w:lang w:bidi="ar"/>
              </w:rPr>
              <w:t>，</w:t>
            </w:r>
            <w:r>
              <w:rPr>
                <w:rFonts w:hint="eastAsia" w:ascii="微软雅黑" w:hAnsi="微软雅黑" w:eastAsia="微软雅黑" w:cs="微软雅黑"/>
                <w:kern w:val="0"/>
                <w:sz w:val="18"/>
                <w:szCs w:val="18"/>
                <w:lang w:bidi="ar"/>
              </w:rPr>
              <w:t>⽆</w:t>
            </w:r>
            <w:r>
              <w:rPr>
                <w:rFonts w:hint="eastAsia" w:ascii="宋体" w:hAnsi="宋体" w:eastAsia="宋体" w:cs="宋体"/>
                <w:kern w:val="0"/>
                <w:sz w:val="18"/>
                <w:szCs w:val="18"/>
                <w:lang w:bidi="ar"/>
              </w:rPr>
              <w:t>凝露</w:t>
            </w:r>
            <w:r>
              <w:rPr>
                <w:rFonts w:ascii="宋体" w:hAnsi="宋体" w:eastAsia="宋体" w:cs="宋体"/>
                <w:kern w:val="0"/>
                <w:sz w:val="18"/>
                <w:szCs w:val="18"/>
                <w:lang w:bidi="ar"/>
              </w:rPr>
              <w:t xml:space="preserve"> </w:t>
            </w:r>
            <w:r>
              <w:rPr>
                <w:rFonts w:hint="eastAsia" w:ascii="宋体" w:hAnsi="宋体" w:eastAsia="宋体" w:cs="宋体"/>
                <w:kern w:val="0"/>
                <w:sz w:val="18"/>
                <w:szCs w:val="18"/>
                <w:lang w:bidi="ar"/>
              </w:rPr>
              <w:t>（常温下）</w:t>
            </w:r>
          </w:p>
          <w:p w14:paraId="664A7136">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20.防护等级：IP54</w:t>
            </w:r>
          </w:p>
          <w:p w14:paraId="150F5530">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21.外观尺寸：1090*325*286mm</w:t>
            </w:r>
          </w:p>
          <w:p w14:paraId="59D17908">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22.外观颜色：玫瑰金+荣耀黑</w:t>
            </w:r>
          </w:p>
          <w:p w14:paraId="73274397">
            <w:pPr>
              <w:widowControl/>
              <w:jc w:val="left"/>
              <w:textAlignment w:val="center"/>
              <w:rPr>
                <w:rFonts w:hint="eastAsia" w:ascii="宋体" w:hAnsi="宋体" w:eastAsia="宋体" w:cs="宋体"/>
                <w:kern w:val="0"/>
                <w:sz w:val="18"/>
                <w:szCs w:val="18"/>
                <w:lang w:bidi="ar"/>
              </w:rPr>
            </w:pPr>
            <w:r>
              <w:rPr>
                <w:rFonts w:ascii="宋体" w:hAnsi="宋体" w:eastAsia="宋体" w:cs="宋体"/>
                <w:kern w:val="0"/>
                <w:sz w:val="18"/>
                <w:szCs w:val="18"/>
                <w:lang w:bidi="ar"/>
              </w:rPr>
              <w:t>23.</w:t>
            </w:r>
            <w:r>
              <w:rPr>
                <w:rFonts w:hint="eastAsia" w:ascii="宋体" w:hAnsi="宋体" w:eastAsia="宋体" w:cs="宋体"/>
                <w:kern w:val="0"/>
                <w:sz w:val="18"/>
                <w:szCs w:val="18"/>
                <w:lang w:bidi="ar"/>
              </w:rPr>
              <w:t>机箱材质：机</w:t>
            </w:r>
            <w:r>
              <w:rPr>
                <w:rFonts w:hint="eastAsia" w:ascii="微软雅黑" w:hAnsi="微软雅黑" w:eastAsia="微软雅黑" w:cs="微软雅黑"/>
                <w:kern w:val="0"/>
                <w:sz w:val="18"/>
                <w:szCs w:val="18"/>
                <w:lang w:bidi="ar"/>
              </w:rPr>
              <w:t>⾝</w:t>
            </w:r>
            <w:r>
              <w:rPr>
                <w:rFonts w:hint="eastAsia" w:ascii="宋体" w:hAnsi="宋体" w:eastAsia="宋体" w:cs="宋体"/>
                <w:kern w:val="0"/>
                <w:sz w:val="18"/>
                <w:szCs w:val="18"/>
                <w:lang w:bidi="ar"/>
              </w:rPr>
              <w:t>主体采</w:t>
            </w:r>
            <w:r>
              <w:rPr>
                <w:rFonts w:hint="eastAsia" w:ascii="微软雅黑" w:hAnsi="微软雅黑" w:eastAsia="微软雅黑" w:cs="微软雅黑"/>
                <w:kern w:val="0"/>
                <w:sz w:val="18"/>
                <w:szCs w:val="18"/>
                <w:lang w:bidi="ar"/>
              </w:rPr>
              <w:t>⽤</w:t>
            </w:r>
            <w:r>
              <w:rPr>
                <w:rFonts w:hint="eastAsia" w:ascii="宋体" w:hAnsi="宋体" w:eastAsia="宋体" w:cs="宋体"/>
                <w:kern w:val="0"/>
                <w:sz w:val="18"/>
                <w:szCs w:val="18"/>
                <w:lang w:bidi="ar"/>
              </w:rPr>
              <w:t>厚度</w:t>
            </w:r>
            <w:r>
              <w:rPr>
                <w:rFonts w:ascii="宋体" w:hAnsi="宋体" w:eastAsia="宋体" w:cs="宋体"/>
                <w:kern w:val="0"/>
                <w:sz w:val="18"/>
                <w:szCs w:val="18"/>
                <w:lang w:bidi="ar"/>
              </w:rPr>
              <w:t>1.5mm</w:t>
            </w:r>
            <w:r>
              <w:rPr>
                <w:rFonts w:hint="eastAsia" w:ascii="宋体" w:hAnsi="宋体" w:eastAsia="宋体" w:cs="宋体"/>
                <w:kern w:val="0"/>
                <w:sz w:val="18"/>
                <w:szCs w:val="18"/>
                <w:lang w:bidi="ar"/>
              </w:rPr>
              <w:t>的</w:t>
            </w:r>
            <w:r>
              <w:rPr>
                <w:rFonts w:hint="eastAsia" w:ascii="微软雅黑" w:hAnsi="微软雅黑" w:eastAsia="微软雅黑" w:cs="微软雅黑"/>
                <w:kern w:val="0"/>
                <w:sz w:val="18"/>
                <w:szCs w:val="18"/>
                <w:lang w:bidi="ar"/>
              </w:rPr>
              <w:t>⾼</w:t>
            </w:r>
            <w:r>
              <w:rPr>
                <w:rFonts w:hint="eastAsia" w:ascii="宋体" w:hAnsi="宋体" w:eastAsia="宋体" w:cs="宋体"/>
                <w:kern w:val="0"/>
                <w:sz w:val="18"/>
                <w:szCs w:val="18"/>
                <w:lang w:bidi="ar"/>
              </w:rPr>
              <w:t>强度碳钢板材</w:t>
            </w:r>
            <w:r>
              <w:rPr>
                <w:rFonts w:ascii="宋体" w:hAnsi="宋体" w:eastAsia="宋体" w:cs="宋体"/>
                <w:kern w:val="0"/>
                <w:sz w:val="18"/>
                <w:szCs w:val="18"/>
                <w:lang w:bidi="ar"/>
              </w:rPr>
              <w:t xml:space="preserve"> </w:t>
            </w:r>
            <w:r>
              <w:rPr>
                <w:rFonts w:hint="eastAsia" w:ascii="宋体" w:hAnsi="宋体" w:eastAsia="宋体" w:cs="宋体"/>
                <w:kern w:val="0"/>
                <w:sz w:val="18"/>
                <w:szCs w:val="18"/>
                <w:lang w:bidi="ar"/>
              </w:rPr>
              <w:t>（投标人或投标产品厂商须提供相关内容的具有</w:t>
            </w:r>
            <w:r>
              <w:rPr>
                <w:rFonts w:ascii="宋体" w:hAnsi="宋体" w:eastAsia="宋体" w:cs="宋体"/>
                <w:kern w:val="0"/>
                <w:sz w:val="18"/>
                <w:szCs w:val="18"/>
                <w:lang w:bidi="ar"/>
              </w:rPr>
              <w:t>CMA</w:t>
            </w:r>
            <w:r>
              <w:rPr>
                <w:rFonts w:hint="eastAsia" w:ascii="宋体" w:hAnsi="宋体" w:eastAsia="宋体" w:cs="宋体"/>
                <w:kern w:val="0"/>
                <w:sz w:val="18"/>
                <w:szCs w:val="18"/>
                <w:lang w:bidi="ar"/>
              </w:rPr>
              <w:t>、</w:t>
            </w:r>
            <w:r>
              <w:rPr>
                <w:rFonts w:ascii="宋体" w:hAnsi="宋体" w:eastAsia="宋体" w:cs="宋体"/>
                <w:kern w:val="0"/>
                <w:sz w:val="18"/>
                <w:szCs w:val="18"/>
                <w:lang w:bidi="ar"/>
              </w:rPr>
              <w:t>CNAS</w:t>
            </w:r>
            <w:r>
              <w:rPr>
                <w:rFonts w:hint="eastAsia" w:ascii="宋体" w:hAnsi="宋体" w:eastAsia="宋体" w:cs="宋体"/>
                <w:kern w:val="0"/>
                <w:sz w:val="18"/>
                <w:szCs w:val="18"/>
                <w:lang w:bidi="ar"/>
              </w:rPr>
              <w:t>认证标识的第三方检测报告复印件，并加盖公章）</w:t>
            </w:r>
          </w:p>
          <w:p w14:paraId="18952587">
            <w:pPr>
              <w:widowControl/>
              <w:jc w:val="left"/>
              <w:textAlignment w:val="center"/>
              <w:rPr>
                <w:rFonts w:hint="eastAsia" w:ascii="宋体" w:hAnsi="宋体" w:eastAsia="宋体" w:cs="宋体"/>
                <w:kern w:val="0"/>
                <w:sz w:val="18"/>
                <w:szCs w:val="18"/>
                <w:lang w:bidi="ar"/>
              </w:rPr>
            </w:pPr>
            <w:r>
              <w:rPr>
                <w:rFonts w:ascii="宋体" w:hAnsi="宋体" w:eastAsia="宋体" w:cs="宋体"/>
                <w:kern w:val="0"/>
                <w:sz w:val="18"/>
                <w:szCs w:val="18"/>
                <w:lang w:bidi="ar"/>
              </w:rPr>
              <w:t>24.</w:t>
            </w:r>
            <w:r>
              <w:rPr>
                <w:rFonts w:hint="eastAsia" w:ascii="宋体" w:hAnsi="宋体" w:eastAsia="宋体" w:cs="宋体"/>
                <w:kern w:val="0"/>
                <w:sz w:val="18"/>
                <w:szCs w:val="18"/>
                <w:lang w:bidi="ar"/>
              </w:rPr>
              <w:t>闸杆中</w:t>
            </w:r>
            <w:r>
              <w:rPr>
                <w:rFonts w:hint="eastAsia" w:ascii="微软雅黑" w:hAnsi="微软雅黑" w:eastAsia="微软雅黑" w:cs="微软雅黑"/>
                <w:kern w:val="0"/>
                <w:sz w:val="18"/>
                <w:szCs w:val="18"/>
                <w:lang w:bidi="ar"/>
              </w:rPr>
              <w:t>⼼⾼</w:t>
            </w:r>
            <w:r>
              <w:rPr>
                <w:rFonts w:hint="eastAsia" w:ascii="宋体" w:hAnsi="宋体" w:eastAsia="宋体" w:cs="宋体"/>
                <w:kern w:val="0"/>
                <w:sz w:val="18"/>
                <w:szCs w:val="18"/>
                <w:lang w:bidi="ar"/>
              </w:rPr>
              <w:t>度：</w:t>
            </w:r>
            <w:r>
              <w:rPr>
                <w:rFonts w:ascii="宋体" w:hAnsi="宋体" w:eastAsia="宋体" w:cs="宋体"/>
                <w:kern w:val="0"/>
                <w:sz w:val="18"/>
                <w:szCs w:val="18"/>
                <w:lang w:bidi="ar"/>
              </w:rPr>
              <w:t>930mm</w:t>
            </w:r>
            <w:r>
              <w:rPr>
                <w:rFonts w:hint="eastAsia" w:ascii="宋体" w:hAnsi="宋体" w:eastAsia="宋体" w:cs="宋体"/>
                <w:kern w:val="0"/>
                <w:sz w:val="18"/>
                <w:szCs w:val="18"/>
                <w:lang w:bidi="ar"/>
              </w:rPr>
              <w:t>（闸杆转轴到机箱底部距离</w:t>
            </w:r>
          </w:p>
          <w:p w14:paraId="269E6FA2">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25.▲设备具备开优先功能，当栏杆处于非放行状态而收到放行指令时，应立即运行到放行状态。检测车辆的信号从有车到无车时，能控制驱动部分驱动栏杆运行到禁行状态。栏杆完成禁行状态到放行状态转换、或完成放行状态到禁行状态转换的单程运行时间可调（投标人或投标产品厂商须提供相关内容的具有CMA、CNAS认证标识的第三方检测报告复印件，并加盖公章）</w:t>
            </w:r>
          </w:p>
        </w:tc>
        <w:tc>
          <w:tcPr>
            <w:tcW w:w="2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344CCE">
            <w:pPr>
              <w:widowControl/>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4</w:t>
            </w:r>
          </w:p>
        </w:tc>
        <w:tc>
          <w:tcPr>
            <w:tcW w:w="2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34A2D6">
            <w:pPr>
              <w:widowControl/>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台</w:t>
            </w:r>
          </w:p>
        </w:tc>
        <w:tc>
          <w:tcPr>
            <w:tcW w:w="4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19C989">
            <w:pPr>
              <w:widowControl/>
              <w:jc w:val="center"/>
              <w:textAlignment w:val="center"/>
              <w:rPr>
                <w:rFonts w:hint="eastAsia" w:ascii="宋体" w:hAnsi="宋体" w:eastAsia="宋体" w:cs="宋体"/>
                <w:kern w:val="0"/>
                <w:sz w:val="18"/>
                <w:szCs w:val="18"/>
                <w:lang w:bidi="ar"/>
              </w:rPr>
            </w:pPr>
          </w:p>
        </w:tc>
        <w:tc>
          <w:tcPr>
            <w:tcW w:w="4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48A7BD">
            <w:pPr>
              <w:widowControl/>
              <w:jc w:val="center"/>
              <w:textAlignment w:val="center"/>
              <w:rPr>
                <w:rFonts w:hint="eastAsia" w:ascii="宋体" w:hAnsi="宋体" w:eastAsia="宋体" w:cs="宋体"/>
                <w:kern w:val="0"/>
                <w:sz w:val="18"/>
                <w:szCs w:val="18"/>
                <w:lang w:bidi="ar"/>
              </w:rPr>
            </w:pPr>
          </w:p>
        </w:tc>
      </w:tr>
      <w:tr w14:paraId="07EED504">
        <w:tblPrEx>
          <w:tblCellMar>
            <w:top w:w="0" w:type="dxa"/>
            <w:left w:w="108" w:type="dxa"/>
            <w:bottom w:w="0" w:type="dxa"/>
            <w:right w:w="108" w:type="dxa"/>
          </w:tblCellMar>
        </w:tblPrEx>
        <w:trPr>
          <w:trHeight w:val="1075" w:hRule="atLeast"/>
          <w:jc w:val="center"/>
        </w:trPr>
        <w:tc>
          <w:tcPr>
            <w:tcW w:w="6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A865FE">
            <w:pPr>
              <w:widowControl/>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道闸栅栏杆</w:t>
            </w:r>
          </w:p>
        </w:tc>
        <w:tc>
          <w:tcPr>
            <w:tcW w:w="30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8E518A">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IV型轻型栅栏杆（标准）</w:t>
            </w:r>
          </w:p>
          <w:p w14:paraId="2F456242">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闸杆总长度：4米</w:t>
            </w:r>
          </w:p>
          <w:p w14:paraId="3F3D8C61">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方向：右向</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C8643B">
            <w:pPr>
              <w:widowControl/>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4</w:t>
            </w:r>
          </w:p>
        </w:tc>
        <w:tc>
          <w:tcPr>
            <w:tcW w:w="2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B61D9A">
            <w:pPr>
              <w:widowControl/>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副</w:t>
            </w:r>
          </w:p>
        </w:tc>
        <w:tc>
          <w:tcPr>
            <w:tcW w:w="4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E1E23E">
            <w:pPr>
              <w:widowControl/>
              <w:jc w:val="center"/>
              <w:textAlignment w:val="center"/>
              <w:rPr>
                <w:rFonts w:hint="eastAsia" w:ascii="宋体" w:hAnsi="宋体" w:eastAsia="宋体" w:cs="宋体"/>
                <w:kern w:val="0"/>
                <w:sz w:val="18"/>
                <w:szCs w:val="18"/>
                <w:lang w:bidi="ar"/>
              </w:rPr>
            </w:pPr>
          </w:p>
        </w:tc>
        <w:tc>
          <w:tcPr>
            <w:tcW w:w="4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A5CD21">
            <w:pPr>
              <w:widowControl/>
              <w:jc w:val="center"/>
              <w:textAlignment w:val="center"/>
              <w:rPr>
                <w:rFonts w:hint="eastAsia" w:ascii="宋体" w:hAnsi="宋体" w:eastAsia="宋体" w:cs="宋体"/>
                <w:kern w:val="0"/>
                <w:sz w:val="18"/>
                <w:szCs w:val="18"/>
                <w:lang w:bidi="ar"/>
              </w:rPr>
            </w:pPr>
          </w:p>
        </w:tc>
      </w:tr>
      <w:tr w14:paraId="6622D78B">
        <w:tblPrEx>
          <w:tblCellMar>
            <w:top w:w="0" w:type="dxa"/>
            <w:left w:w="108" w:type="dxa"/>
            <w:bottom w:w="0" w:type="dxa"/>
            <w:right w:w="108" w:type="dxa"/>
          </w:tblCellMar>
        </w:tblPrEx>
        <w:trPr>
          <w:trHeight w:val="685" w:hRule="atLeast"/>
          <w:jc w:val="center"/>
        </w:trPr>
        <w:tc>
          <w:tcPr>
            <w:tcW w:w="6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2FE811">
            <w:pPr>
              <w:widowControl/>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防砸雷达</w:t>
            </w:r>
          </w:p>
        </w:tc>
        <w:tc>
          <w:tcPr>
            <w:tcW w:w="30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A274CF">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防砸雷达</w:t>
            </w:r>
          </w:p>
        </w:tc>
        <w:tc>
          <w:tcPr>
            <w:tcW w:w="2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612DA4">
            <w:pPr>
              <w:widowControl/>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4</w:t>
            </w:r>
          </w:p>
        </w:tc>
        <w:tc>
          <w:tcPr>
            <w:tcW w:w="2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B47FBC">
            <w:pPr>
              <w:widowControl/>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个</w:t>
            </w:r>
          </w:p>
        </w:tc>
        <w:tc>
          <w:tcPr>
            <w:tcW w:w="4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76047C">
            <w:pPr>
              <w:widowControl/>
              <w:jc w:val="center"/>
              <w:textAlignment w:val="center"/>
              <w:rPr>
                <w:rFonts w:hint="eastAsia" w:ascii="宋体" w:hAnsi="宋体" w:eastAsia="宋体" w:cs="宋体"/>
                <w:kern w:val="0"/>
                <w:sz w:val="18"/>
                <w:szCs w:val="18"/>
                <w:lang w:bidi="ar"/>
              </w:rPr>
            </w:pPr>
          </w:p>
        </w:tc>
        <w:tc>
          <w:tcPr>
            <w:tcW w:w="4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C2AE16">
            <w:pPr>
              <w:widowControl/>
              <w:jc w:val="center"/>
              <w:textAlignment w:val="center"/>
              <w:rPr>
                <w:rFonts w:hint="eastAsia" w:ascii="宋体" w:hAnsi="宋体" w:eastAsia="宋体" w:cs="宋体"/>
                <w:kern w:val="0"/>
                <w:sz w:val="18"/>
                <w:szCs w:val="18"/>
                <w:lang w:bidi="ar"/>
              </w:rPr>
            </w:pPr>
          </w:p>
        </w:tc>
      </w:tr>
      <w:tr w14:paraId="4B37F0BC">
        <w:tblPrEx>
          <w:tblCellMar>
            <w:top w:w="0" w:type="dxa"/>
            <w:left w:w="108" w:type="dxa"/>
            <w:bottom w:w="0" w:type="dxa"/>
            <w:right w:w="108" w:type="dxa"/>
          </w:tblCellMar>
        </w:tblPrEx>
        <w:trPr>
          <w:trHeight w:val="731" w:hRule="atLeast"/>
          <w:jc w:val="center"/>
        </w:trPr>
        <w:tc>
          <w:tcPr>
            <w:tcW w:w="6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E1488F">
            <w:pPr>
              <w:widowControl/>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地感处理器</w:t>
            </w:r>
          </w:p>
        </w:tc>
        <w:tc>
          <w:tcPr>
            <w:tcW w:w="30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D7EB7C">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地感处理器</w:t>
            </w:r>
          </w:p>
          <w:p w14:paraId="2AF249EA">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地感底座</w:t>
            </w:r>
          </w:p>
        </w:tc>
        <w:tc>
          <w:tcPr>
            <w:tcW w:w="2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E5060D">
            <w:pPr>
              <w:widowControl/>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4</w:t>
            </w:r>
          </w:p>
        </w:tc>
        <w:tc>
          <w:tcPr>
            <w:tcW w:w="2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F1816C">
            <w:pPr>
              <w:widowControl/>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个</w:t>
            </w:r>
          </w:p>
        </w:tc>
        <w:tc>
          <w:tcPr>
            <w:tcW w:w="4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A14D1A">
            <w:pPr>
              <w:widowControl/>
              <w:jc w:val="center"/>
              <w:textAlignment w:val="center"/>
              <w:rPr>
                <w:rFonts w:hint="eastAsia" w:ascii="宋体" w:hAnsi="宋体" w:eastAsia="宋体" w:cs="宋体"/>
                <w:kern w:val="0"/>
                <w:sz w:val="18"/>
                <w:szCs w:val="18"/>
                <w:lang w:bidi="ar"/>
              </w:rPr>
            </w:pPr>
          </w:p>
        </w:tc>
        <w:tc>
          <w:tcPr>
            <w:tcW w:w="4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1484A1">
            <w:pPr>
              <w:widowControl/>
              <w:jc w:val="center"/>
              <w:textAlignment w:val="center"/>
              <w:rPr>
                <w:rFonts w:hint="eastAsia" w:ascii="宋体" w:hAnsi="宋体" w:eastAsia="宋体" w:cs="宋体"/>
                <w:kern w:val="0"/>
                <w:sz w:val="18"/>
                <w:szCs w:val="18"/>
                <w:lang w:bidi="ar"/>
              </w:rPr>
            </w:pPr>
          </w:p>
        </w:tc>
      </w:tr>
      <w:tr w14:paraId="4320ABA9">
        <w:tblPrEx>
          <w:tblCellMar>
            <w:top w:w="0" w:type="dxa"/>
            <w:left w:w="108" w:type="dxa"/>
            <w:bottom w:w="0" w:type="dxa"/>
            <w:right w:w="108" w:type="dxa"/>
          </w:tblCellMar>
        </w:tblPrEx>
        <w:trPr>
          <w:trHeight w:val="90" w:hRule="atLeast"/>
          <w:jc w:val="center"/>
        </w:trPr>
        <w:tc>
          <w:tcPr>
            <w:tcW w:w="6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46482C">
            <w:pPr>
              <w:widowControl/>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车辆管控及收费管理平台</w:t>
            </w:r>
          </w:p>
        </w:tc>
        <w:tc>
          <w:tcPr>
            <w:tcW w:w="30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E783AC">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1、系统定义</w:t>
            </w:r>
          </w:p>
          <w:p w14:paraId="366D5894">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待选型及开发系统定义为：广东生态工程职业学院智慧通行管理平台，本文件中无特殊说明，后续简称为“平台”。</w:t>
            </w:r>
          </w:p>
          <w:p w14:paraId="1FD7C25A">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2、业务要求</w:t>
            </w:r>
          </w:p>
          <w:p w14:paraId="35B9B16C">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平台详细功能需求请参见功能需求列表附件，原则上需要满足所有功能需求。除基础功能需求外，平台还需要具备下述特点，以提升平台业务管理能力和易用性。</w:t>
            </w:r>
          </w:p>
          <w:p w14:paraId="53ABC757">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2.1平台必须采用统一操作门户</w:t>
            </w:r>
          </w:p>
          <w:p w14:paraId="5EB05A0A">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面向所有用户的界面操作必须采用统一平台和门户，不允许同时部署多个业务平台门户。保障所有用户在一个平台上进行操作，可以通过灵活角色权限配置，控制不同用户使用不同功能。</w:t>
            </w:r>
          </w:p>
          <w:p w14:paraId="35FF142E">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2.2平台必须全面支持集中管控模式</w:t>
            </w:r>
          </w:p>
          <w:p w14:paraId="05C5B06B">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无论从物业项目管控范围还是业务管控范围，平台都必须支持集中管控。平台要求能实现按物业管理层级来集中管理公司所有物业项目，并且在业务上要求同时支持车场、门禁和访客等核心业务的集中管控，平台还可以根据后续业务管理需要，灵活扩充其他业务。</w:t>
            </w:r>
          </w:p>
          <w:p w14:paraId="346A1A37">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2.3平台要求支持不同物业项目可开通不同业务管理服务</w:t>
            </w:r>
          </w:p>
          <w:p w14:paraId="5DB5EF1A">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考虑到不同物业项目的实际管理情况，有些物业项目只对车场进行管理，有些项目只对门禁进行管理，因此平台要求支持不同物业项目可以开通不同业务管理服务。并且可以根据物业项目后续需求，随时开通和关闭某个业务服务。</w:t>
            </w:r>
          </w:p>
          <w:p w14:paraId="721A318D">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2.4平台人员信息必须实现一次采集、多业务共用</w:t>
            </w:r>
          </w:p>
          <w:p w14:paraId="53F94D97">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平台包含的所有管理业务中，人员信息必须实现一次采集、多业务共用。人员信息至少包含但不限于：人员基础资料、车辆信息、人员生物凭证（至少包含：人脸、指纹等）、人员外部凭证（卡凭证、二维码、密码凭证等）和车辆凭证、访客凭证等。不可出现不同业务模块需要单独管理各自人员信息，导致人员信息多次采集。</w:t>
            </w:r>
          </w:p>
          <w:p w14:paraId="3A604306">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2.5平台停车业务要求实现路内路外一体化（针对有路内的客户）</w:t>
            </w:r>
          </w:p>
          <w:p w14:paraId="333CEDC6">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平台停车业务模块要能实现公司所有路内泊位资源和路外车场资源的深度整合和统一管理。不仅要求在路内路外停车实现数据整合，还必须实现路内停车和路外车场在管理功能上的一体化。</w:t>
            </w:r>
          </w:p>
          <w:p w14:paraId="46E2EFA6">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2.6平台要求能对所有接入车场进行全面管控</w:t>
            </w:r>
          </w:p>
          <w:p w14:paraId="400EE403">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平台除了能对所有接入车场的基础数据和业务数据进行汇聚外，还要求能直接管理所有车场的关键业务配置和关键业务操作。至少包含但不限于：车场月卡统一授权、车场黑白名单管理、车位管理、场内车管理、车场月卡和临停收费标准管理等。</w:t>
            </w:r>
          </w:p>
          <w:p w14:paraId="37C90242">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▲2.7平台要求具有强大的聚合支付能力，集成主流的在线支付渠道</w:t>
            </w:r>
          </w:p>
          <w:p w14:paraId="7E63AEB1">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平台要求具有强大的聚合支付能力，除了目前主流的微信、支付宝等第三方支付外，还需要能根据公司财务合作需求，灵活扩充各银行在线支付渠道。除在线支付方式外，还要求接入主流无感支付服务商。</w:t>
            </w:r>
          </w:p>
          <w:p w14:paraId="27772D72">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▲2.8平台要求具有完整的清结算和对账能力，实现业财一体化</w:t>
            </w:r>
          </w:p>
          <w:p w14:paraId="327FAD04">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要求平台能灵活配置每个车场在线支付的资金账户，可以实现一个车场一个资金账户，也可以实现多个车场共用一个资金账户。并且平台必须具有完整的清结算和对账能力，能实现每个车场所有在线支付渠道的自动对账和清结算，真正实现车场管理的业财一体化。</w:t>
            </w:r>
          </w:p>
          <w:p w14:paraId="01C4170A">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2.9平台要求对所有接入项目和设备进行全方位智能监控</w:t>
            </w:r>
          </w:p>
          <w:p w14:paraId="61D55EE9">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平台要求对所有接入项目和设备进行全方面智能监控，一旦项目和设备出现离线或者故障时，能及时反馈到平台。并且平台可以配置每个项目的监控处理人员，当监控信息反馈到平台后，平台能通过短信方式及时通知对应的处理人员，并形成异常处理工单进行全生命周期跟踪，保障异常得到及时处理。</w:t>
            </w:r>
          </w:p>
          <w:p w14:paraId="6DC39C0E">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2.10平台优惠打折服务需要支持多级商家模式</w:t>
            </w:r>
          </w:p>
          <w:p w14:paraId="5325AA1B">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针对商业项目，平台要求具有完整的商业优惠打折服务，让车场和商家能为车主提供停车优惠券和减免打折服务。优惠打折服务必须支持多级商家管理，能灵活支持车场和商家的二级优惠打折管理模式，也能支持集团物业、车场和商家的多级优惠打折管理方案。</w:t>
            </w:r>
          </w:p>
          <w:p w14:paraId="643BA73B">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▲2.11平台需要具备车场增值运营管理能力</w:t>
            </w:r>
          </w:p>
          <w:p w14:paraId="487B3D30">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平台需要具有线上广告运营能力，车场运营人员可以通过平台向特定车场发布在线广告，实现车主进出车场时，能收到车辆进出消息和广告推送内容，广告推送内容要求支持纯文字和H5页面，内容可以由运营人员自行设计。后续平台还需要逐步扩展共享车位、错峰停车等车位级增值运营服务。</w:t>
            </w:r>
          </w:p>
          <w:p w14:paraId="7370C3F7">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2.12平台需要具备云岗亭托管能力，实现车场无人化值守</w:t>
            </w:r>
          </w:p>
          <w:p w14:paraId="75865AB0">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考虑到逐步实现所有车场的无人化值守，平台必须具备云端岗亭托管能力，实现车主出现异常情况而无法正常通行时，云端岗亭坐席能远程为车主解决通行问题。云端岗亭坐席要求具有车辆进出图片、车牌识别信息、音视频双向对讲、车道环境摄像监控、远程开闸和关闸等基础能力，并且能调取全面的车辆相关信息，辅助云端坐席人员做出开闸决策。云端岗亭坐席必须实现车辆通行信息、音视频双向对讲、车道环境监控的联动，在一个处理界面能查看和操作这些功能。</w:t>
            </w:r>
          </w:p>
          <w:p w14:paraId="53B90305">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★2.13平台需要实现车行、人行和访客的统一管控和集中授权</w:t>
            </w:r>
          </w:p>
          <w:p w14:paraId="55BFEF2B">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针对需要同时对车行、人行和访客进行管控的物业项目，平台需要实现统一管控和集中授权。要求对人员信息进行统一管理，实现一次采集、信息共用；并且能针对一个人员实现车辆和门禁的集中授权。</w:t>
            </w:r>
          </w:p>
          <w:p w14:paraId="5D005A0C">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平台需要支持对接校园访客程序进行线上预约即可放行（供应商提供承诺函，格式自拟）</w:t>
            </w:r>
          </w:p>
          <w:p w14:paraId="5685D810">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2.14平台需要实现门禁跨物业项目集中授权</w:t>
            </w:r>
          </w:p>
          <w:p w14:paraId="1FADABB7">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针对多物业项目进行门禁集中管理时，平台需要实现跨物业项目的门禁集中授权。当一个人员可以同时通行多个物业项目的不同门禁区域时，要求平台只进行一次授权即可覆盖所有物业项目的门禁区域。</w:t>
            </w:r>
          </w:p>
          <w:p w14:paraId="7734BC9B">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▲2.15平台要求访客管理能同时支持车辆和人员访客</w:t>
            </w:r>
          </w:p>
          <w:p w14:paraId="4C76CEB7">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针对访客管理，平台要求能同时支持车辆和人员访客统一管理，在访客邀请和预约时，可以同时提交访客车辆信息和访客人员信息。平台能智能控制车场管理和门禁管理系统进行访客车辆和人员的智能识别和放行。</w:t>
            </w:r>
          </w:p>
          <w:p w14:paraId="6CECBC5A">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▲2.16投标产品具备云平台清分结算系统须保证合规、合法、稳定性要求，具有央行颁发支付牌照证书支撑，并提供证书加盖公章证明,子母关系公司可授权。</w:t>
            </w:r>
          </w:p>
          <w:p w14:paraId="3B916B96">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3、系统技术要求</w:t>
            </w:r>
          </w:p>
          <w:p w14:paraId="209CB317">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3.1.平台技术架构</w:t>
            </w:r>
          </w:p>
          <w:p w14:paraId="2F0FBCE1">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A、平台要求采用Java语言开发，完全采用B/S架构，支持目前主流浏览器IE、Chrome和Firefox等。</w:t>
            </w:r>
          </w:p>
          <w:p w14:paraId="01C74B50">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B、平台要求能采用Linux服务器部署，数据库优先采用开源的MySQL数据库，平台应用服务器和数据库服务器要求支持多机高可用部署，同时提供了自动化构建能力，全运维流程监控能力。</w:t>
            </w:r>
          </w:p>
          <w:p w14:paraId="17DC83F7">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C、平台要求具有良好的架构设计，主要框架要求采用开源框架，不能使用收费的商业框架。平台建议采用分布式微服务架构，支持亿级以上海量数据的处理以及复杂业务场景的处理，每个业务服务能独立部署和维护；当单个业务服务出现故障时，不能影响其他业务服务的正常运行。微服务架构最好采用目前主流Spring Cloud 搭建，实现系统的高扩展性和高维护性。</w:t>
            </w:r>
          </w:p>
          <w:p w14:paraId="306339B3">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D、平台要求支持良好的二次开发能力，保障平台的扩展性和个性化，同时要求平台的基础模块和其他业务模块正常升级时，不影响二次开发的业务模块。</w:t>
            </w:r>
          </w:p>
          <w:p w14:paraId="7002F022">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★E、平台要求预留后续对接校园数据中台所需接口（供应商提供承诺函，格式自拟）</w:t>
            </w:r>
          </w:p>
          <w:p w14:paraId="0D3437F6">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F、平台要求提供灰度部署方案，通过部署灰度环境和生产环境两个环境，支持新功能在灰度环境部署试用，功能稳定后再通过流量切换到生产环境上，实现了不停机更新。</w:t>
            </w:r>
          </w:p>
          <w:p w14:paraId="2BC78CE0">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3.2.平台性能要求</w:t>
            </w:r>
          </w:p>
          <w:p w14:paraId="11C9F0F1">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A、系统响应时间：</w:t>
            </w:r>
          </w:p>
          <w:p w14:paraId="17C2398B">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平台启动时间小于1s；</w:t>
            </w:r>
          </w:p>
          <w:p w14:paraId="00D627C1">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登录平台时间小于100ms；</w:t>
            </w:r>
          </w:p>
          <w:p w14:paraId="56046BB7">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该系统与各个业务系统之间的接口响应时间小于100ms；</w:t>
            </w:r>
          </w:p>
          <w:p w14:paraId="2EBEFE69">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数据查询操作，近期数据查询响应时间小于1秒，历史数据查询响应时间小于5秒；</w:t>
            </w:r>
          </w:p>
          <w:p w14:paraId="1B7C4BF7">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设备远程操作，响应时间小于3秒；</w:t>
            </w:r>
          </w:p>
          <w:p w14:paraId="35FB506F">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功能菜单切换，响应时间小于1秒。</w:t>
            </w:r>
          </w:p>
          <w:p w14:paraId="41BE4EF9">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B、数据保存时长（记录）：10年以上；</w:t>
            </w:r>
          </w:p>
          <w:p w14:paraId="004D8701">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C、数据保存时长（图片）：抓拍的图片，保存期限最低180天；</w:t>
            </w:r>
          </w:p>
          <w:p w14:paraId="46B6EAE9">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D、能支撑至少200个停车场项目的稳定运行，并可动态扩展，不能出现延时、卡顿等现象；</w:t>
            </w:r>
          </w:p>
          <w:p w14:paraId="21B1B364">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E、需实时进行数据汇总，防止数据被恶意篡改，避免人为作弊；</w:t>
            </w:r>
          </w:p>
          <w:p w14:paraId="6248B77C">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3.3．高并发性</w:t>
            </w:r>
          </w:p>
          <w:p w14:paraId="536A5BE1">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系统支持并发用户数达到1000个以上，操作响应速度不超过2秒。</w:t>
            </w:r>
          </w:p>
          <w:p w14:paraId="680944B3">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3.4．可靠性</w:t>
            </w:r>
          </w:p>
          <w:p w14:paraId="5B210D59">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A、平均无故障运行时间：平台应具备全天候7*24小时无故障稳定运行。</w:t>
            </w:r>
          </w:p>
          <w:p w14:paraId="318FB188">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B、平台应具有网管接口和故障告警功能，出现服务崩溃等故障现象时，应主动预警；</w:t>
            </w:r>
          </w:p>
          <w:p w14:paraId="57863500">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C、系统具有容错能力，在大并发、高连接数的情况下不会崩溃。出现问题时，能准确定位。</w:t>
            </w:r>
          </w:p>
          <w:p w14:paraId="2C8F26D7">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3.5．安全性和许可限制</w:t>
            </w:r>
          </w:p>
          <w:p w14:paraId="5E5E7076">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A、平台必须具备高度的安全机制，防止数据被篡改和丢失，保证业务和数据的安全，系统同时必须具备安全可靠的恢复与备份机制。</w:t>
            </w:r>
          </w:p>
          <w:p w14:paraId="4F7003CB">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B、接入平台的物业项目数量不受任何许可限制。</w:t>
            </w:r>
          </w:p>
        </w:tc>
        <w:tc>
          <w:tcPr>
            <w:tcW w:w="2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8BE47F">
            <w:pPr>
              <w:widowControl/>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1</w:t>
            </w:r>
          </w:p>
        </w:tc>
        <w:tc>
          <w:tcPr>
            <w:tcW w:w="2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55F7B6">
            <w:pPr>
              <w:widowControl/>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套</w:t>
            </w:r>
          </w:p>
        </w:tc>
        <w:tc>
          <w:tcPr>
            <w:tcW w:w="4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C0305E">
            <w:pPr>
              <w:widowControl/>
              <w:jc w:val="center"/>
              <w:textAlignment w:val="center"/>
              <w:rPr>
                <w:rFonts w:hint="eastAsia" w:ascii="宋体" w:hAnsi="宋体" w:eastAsia="宋体" w:cs="宋体"/>
                <w:kern w:val="0"/>
                <w:sz w:val="18"/>
                <w:szCs w:val="18"/>
                <w:lang w:bidi="ar"/>
              </w:rPr>
            </w:pPr>
          </w:p>
        </w:tc>
        <w:tc>
          <w:tcPr>
            <w:tcW w:w="4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A40F70">
            <w:pPr>
              <w:widowControl/>
              <w:jc w:val="center"/>
              <w:textAlignment w:val="center"/>
              <w:rPr>
                <w:rFonts w:hint="eastAsia" w:ascii="宋体" w:hAnsi="宋体" w:eastAsia="宋体" w:cs="宋体"/>
                <w:kern w:val="0"/>
                <w:sz w:val="18"/>
                <w:szCs w:val="18"/>
                <w:lang w:bidi="ar"/>
              </w:rPr>
            </w:pPr>
          </w:p>
        </w:tc>
      </w:tr>
      <w:tr w14:paraId="4358C223">
        <w:tblPrEx>
          <w:tblCellMar>
            <w:top w:w="0" w:type="dxa"/>
            <w:left w:w="108" w:type="dxa"/>
            <w:bottom w:w="0" w:type="dxa"/>
            <w:right w:w="108" w:type="dxa"/>
          </w:tblCellMar>
        </w:tblPrEx>
        <w:trPr>
          <w:trHeight w:val="1462" w:hRule="atLeast"/>
          <w:jc w:val="center"/>
        </w:trPr>
        <w:tc>
          <w:tcPr>
            <w:tcW w:w="6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2D4134">
            <w:pPr>
              <w:widowControl/>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安装调试费</w:t>
            </w:r>
          </w:p>
        </w:tc>
        <w:tc>
          <w:tcPr>
            <w:tcW w:w="30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C016B4">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设备调试，互联，上线等费用</w:t>
            </w:r>
          </w:p>
          <w:p w14:paraId="0DABFCD8">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含路面开挖，线路铺设，机柜整理</w:t>
            </w:r>
          </w:p>
          <w:p w14:paraId="56CD83A0">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★含所有安装辅材及设备，如线缆，交换机，控制柜等所有满足系统运行所需的辅材(供应商提供承诺函，格式自拟)</w:t>
            </w:r>
          </w:p>
        </w:tc>
        <w:tc>
          <w:tcPr>
            <w:tcW w:w="2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A7135D">
            <w:pPr>
              <w:widowControl/>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1</w:t>
            </w:r>
          </w:p>
        </w:tc>
        <w:tc>
          <w:tcPr>
            <w:tcW w:w="2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A3FA35">
            <w:pPr>
              <w:widowControl/>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项</w:t>
            </w:r>
          </w:p>
        </w:tc>
        <w:tc>
          <w:tcPr>
            <w:tcW w:w="4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104883">
            <w:pPr>
              <w:widowControl/>
              <w:jc w:val="center"/>
              <w:textAlignment w:val="center"/>
              <w:rPr>
                <w:rFonts w:hint="eastAsia" w:ascii="宋体" w:hAnsi="宋体" w:eastAsia="宋体" w:cs="宋体"/>
                <w:kern w:val="0"/>
                <w:sz w:val="18"/>
                <w:szCs w:val="18"/>
                <w:lang w:bidi="ar"/>
              </w:rPr>
            </w:pPr>
          </w:p>
        </w:tc>
        <w:tc>
          <w:tcPr>
            <w:tcW w:w="4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DC6A0C">
            <w:pPr>
              <w:widowControl/>
              <w:jc w:val="center"/>
              <w:textAlignment w:val="center"/>
              <w:rPr>
                <w:rFonts w:hint="eastAsia" w:ascii="宋体" w:hAnsi="宋体" w:eastAsia="宋体" w:cs="宋体"/>
                <w:kern w:val="0"/>
                <w:sz w:val="18"/>
                <w:szCs w:val="18"/>
                <w:lang w:bidi="ar"/>
              </w:rPr>
            </w:pPr>
          </w:p>
        </w:tc>
      </w:tr>
      <w:tr w14:paraId="3FF71F7F">
        <w:tblPrEx>
          <w:tblCellMar>
            <w:top w:w="0" w:type="dxa"/>
            <w:left w:w="108" w:type="dxa"/>
            <w:bottom w:w="0" w:type="dxa"/>
            <w:right w:w="108" w:type="dxa"/>
          </w:tblCellMar>
        </w:tblPrEx>
        <w:trPr>
          <w:trHeight w:val="577" w:hRule="atLeast"/>
          <w:jc w:val="center"/>
        </w:trPr>
        <w:tc>
          <w:tcPr>
            <w:tcW w:w="36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343A201">
            <w:pPr>
              <w:widowControl/>
              <w:jc w:val="center"/>
              <w:textAlignment w:val="center"/>
              <w:rPr>
                <w:rFonts w:hint="eastAsia" w:ascii="宋体" w:hAnsi="宋体" w:eastAsia="宋体" w:cs="宋体"/>
                <w:kern w:val="0"/>
                <w:sz w:val="18"/>
                <w:szCs w:val="18"/>
                <w:lang w:val="en-US" w:eastAsia="zh-CN" w:bidi="ar"/>
              </w:rPr>
            </w:pPr>
            <w:r>
              <w:rPr>
                <w:rFonts w:hint="eastAsia" w:ascii="仿宋" w:hAnsi="仿宋" w:eastAsia="仿宋" w:cs="仿宋"/>
                <w:b/>
                <w:bCs/>
                <w:kern w:val="0"/>
                <w:sz w:val="24"/>
                <w:lang w:val="en-US" w:eastAsia="zh-CN" w:bidi="ar"/>
              </w:rPr>
              <w:t>合计（元）</w:t>
            </w:r>
          </w:p>
        </w:tc>
        <w:tc>
          <w:tcPr>
            <w:tcW w:w="1336"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0B10649">
            <w:pPr>
              <w:widowControl/>
              <w:jc w:val="center"/>
              <w:textAlignment w:val="center"/>
              <w:rPr>
                <w:rFonts w:hint="eastAsia" w:ascii="宋体" w:hAnsi="宋体" w:eastAsia="宋体" w:cs="宋体"/>
                <w:kern w:val="0"/>
                <w:sz w:val="18"/>
                <w:szCs w:val="18"/>
                <w:lang w:bidi="ar"/>
              </w:rPr>
            </w:pPr>
          </w:p>
        </w:tc>
      </w:tr>
    </w:tbl>
    <w:p w14:paraId="71BE4DD0">
      <w:pPr>
        <w:snapToGrid w:val="0"/>
        <w:spacing w:line="460" w:lineRule="exact"/>
        <w:jc w:val="left"/>
        <w:rPr>
          <w:rFonts w:hint="eastAsia" w:hAnsi="宋体"/>
          <w:szCs w:val="21"/>
        </w:rPr>
      </w:pPr>
      <w:r>
        <w:rPr>
          <w:rFonts w:hint="eastAsia" w:hAnsi="宋体"/>
          <w:szCs w:val="21"/>
        </w:rPr>
        <w:t>注：附件2的“合计”要与附件</w:t>
      </w:r>
      <w:r>
        <w:rPr>
          <w:rFonts w:hint="eastAsia" w:ascii="宋体" w:hAnsi="宋体" w:eastAsia="宋体" w:cs="宋体"/>
          <w:szCs w:val="21"/>
        </w:rPr>
        <w:t>1</w:t>
      </w:r>
      <w:r>
        <w:rPr>
          <w:rFonts w:hint="eastAsia" w:hAnsi="宋体"/>
          <w:szCs w:val="21"/>
        </w:rPr>
        <w:t>《报价一览表》中的“总报价”一致，否则视为自动放弃询价资格。</w:t>
      </w:r>
    </w:p>
    <w:p w14:paraId="41616CC2">
      <w:pPr>
        <w:tabs>
          <w:tab w:val="left" w:pos="8100"/>
        </w:tabs>
        <w:adjustRightInd w:val="0"/>
        <w:snapToGrid w:val="0"/>
        <w:spacing w:line="348" w:lineRule="auto"/>
        <w:ind w:right="840"/>
        <w:jc w:val="center"/>
        <w:rPr>
          <w:rFonts w:hint="eastAsia" w:ascii="宋体" w:hAnsi="宋体" w:cs="Tahoma"/>
          <w:szCs w:val="21"/>
        </w:rPr>
      </w:pPr>
      <w:r>
        <w:rPr>
          <w:rFonts w:hint="eastAsia" w:ascii="宋体" w:hAnsi="宋体" w:cs="Tahoma"/>
          <w:szCs w:val="21"/>
        </w:rPr>
        <w:t xml:space="preserve">                                     </w:t>
      </w:r>
    </w:p>
    <w:p w14:paraId="64CE6BD8">
      <w:pPr>
        <w:tabs>
          <w:tab w:val="left" w:pos="8100"/>
        </w:tabs>
        <w:adjustRightInd w:val="0"/>
        <w:snapToGrid w:val="0"/>
        <w:spacing w:line="348" w:lineRule="auto"/>
        <w:ind w:right="840"/>
        <w:jc w:val="center"/>
        <w:rPr>
          <w:rFonts w:hint="eastAsia" w:ascii="宋体" w:hAnsi="宋体" w:cs="Tahoma"/>
          <w:szCs w:val="21"/>
        </w:rPr>
      </w:pPr>
      <w:r>
        <w:rPr>
          <w:rFonts w:hint="eastAsia" w:ascii="宋体" w:hAnsi="宋体" w:cs="Tahoma"/>
          <w:szCs w:val="21"/>
        </w:rPr>
        <w:t xml:space="preserve">             </w:t>
      </w:r>
    </w:p>
    <w:p w14:paraId="7F222BA6">
      <w:pPr>
        <w:tabs>
          <w:tab w:val="left" w:pos="8100"/>
        </w:tabs>
        <w:adjustRightInd w:val="0"/>
        <w:snapToGrid w:val="0"/>
        <w:spacing w:line="348" w:lineRule="auto"/>
        <w:ind w:right="840"/>
        <w:jc w:val="center"/>
        <w:rPr>
          <w:rFonts w:hint="eastAsia" w:ascii="宋体" w:hAnsi="宋体" w:cs="Tahoma"/>
          <w:szCs w:val="21"/>
        </w:rPr>
      </w:pPr>
      <w:r>
        <w:rPr>
          <w:rFonts w:hint="eastAsia" w:ascii="宋体" w:hAnsi="宋体" w:cs="Tahoma"/>
          <w:szCs w:val="21"/>
        </w:rPr>
        <w:t xml:space="preserve"> 报价供应商（公章）：                           日期：   年    月    日</w:t>
      </w:r>
    </w:p>
    <w:p w14:paraId="58337AA6">
      <w:pPr>
        <w:snapToGrid w:val="0"/>
        <w:spacing w:line="460" w:lineRule="exact"/>
        <w:ind w:firstLine="411" w:firstLineChars="196"/>
        <w:rPr>
          <w:rFonts w:hint="eastAsia" w:hAnsi="宋体"/>
          <w:szCs w:val="21"/>
        </w:rPr>
      </w:pPr>
    </w:p>
    <w:p w14:paraId="5EDA61A0">
      <w:pPr>
        <w:snapToGrid w:val="0"/>
        <w:spacing w:line="460" w:lineRule="exact"/>
        <w:ind w:firstLine="411" w:firstLineChars="196"/>
        <w:rPr>
          <w:rFonts w:hint="eastAsia" w:hAnsi="宋体"/>
          <w:szCs w:val="21"/>
        </w:rPr>
      </w:pPr>
    </w:p>
    <w:p w14:paraId="179339DD">
      <w:pPr>
        <w:rPr>
          <w:rFonts w:hint="eastAsia" w:ascii="宋体" w:hAnsi="宋体" w:cs="宋体"/>
          <w:b/>
          <w:sz w:val="24"/>
        </w:rPr>
      </w:pPr>
      <w:r>
        <w:rPr>
          <w:rFonts w:hint="eastAsia"/>
          <w:b/>
          <w:sz w:val="24"/>
        </w:rPr>
        <w:t>（注：本报价表为必要文件，必须加盖报价供应商公章，否则作无效报价处理）</w:t>
      </w:r>
    </w:p>
    <w:p w14:paraId="2E82D31E">
      <w:pPr>
        <w:rPr>
          <w:rFonts w:hint="eastAsia" w:ascii="宋体" w:hAnsi="宋体" w:cs="宋体"/>
          <w:b/>
          <w:sz w:val="24"/>
        </w:rPr>
      </w:pPr>
      <w:r>
        <w:rPr>
          <w:rFonts w:hint="eastAsia" w:ascii="宋体" w:hAnsi="宋体" w:cs="宋体"/>
          <w:b/>
          <w:sz w:val="24"/>
        </w:rPr>
        <w:br w:type="page"/>
      </w:r>
    </w:p>
    <w:p w14:paraId="77370258">
      <w:pPr>
        <w:tabs>
          <w:tab w:val="left" w:pos="8100"/>
        </w:tabs>
        <w:adjustRightInd w:val="0"/>
        <w:snapToGrid w:val="0"/>
        <w:spacing w:line="348" w:lineRule="auto"/>
        <w:rPr>
          <w:rFonts w:hint="eastAsia" w:ascii="宋体" w:hAnsi="宋体" w:cs="宋体"/>
          <w:b/>
          <w:sz w:val="24"/>
        </w:rPr>
      </w:pPr>
      <w:r>
        <w:rPr>
          <w:rFonts w:hint="eastAsia" w:ascii="宋体" w:hAnsi="宋体" w:cs="宋体"/>
          <w:b/>
          <w:sz w:val="24"/>
        </w:rPr>
        <w:t>附件3</w:t>
      </w:r>
    </w:p>
    <w:p w14:paraId="7F242AC3">
      <w:pPr>
        <w:pStyle w:val="3"/>
        <w:spacing w:before="0" w:after="0" w:line="400" w:lineRule="exact"/>
        <w:rPr>
          <w:rFonts w:hint="eastAsia" w:ascii="宋体" w:hAnsi="宋体" w:cs="宋体"/>
          <w:szCs w:val="28"/>
        </w:rPr>
      </w:pPr>
    </w:p>
    <w:p w14:paraId="196C36CF">
      <w:pPr>
        <w:pStyle w:val="3"/>
        <w:spacing w:before="0" w:after="0" w:line="400" w:lineRule="exact"/>
        <w:jc w:val="center"/>
        <w:rPr>
          <w:rFonts w:hint="eastAsia" w:ascii="仿宋" w:hAnsi="仿宋" w:eastAsia="仿宋" w:cs="仿宋"/>
          <w:sz w:val="44"/>
          <w:szCs w:val="44"/>
        </w:rPr>
      </w:pPr>
      <w:r>
        <w:rPr>
          <w:rFonts w:hint="eastAsia" w:ascii="宋体" w:hAnsi="宋体" w:cs="宋体"/>
          <w:szCs w:val="28"/>
        </w:rPr>
        <w:t>承诺书</w:t>
      </w:r>
    </w:p>
    <w:p w14:paraId="171156D4">
      <w:pPr>
        <w:pStyle w:val="18"/>
        <w:spacing w:line="480" w:lineRule="auto"/>
        <w:ind w:firstLine="0" w:firstLineChars="0"/>
        <w:jc w:val="left"/>
        <w:rPr>
          <w:rFonts w:hint="eastAsia" w:ascii="仿宋" w:hAnsi="仿宋" w:eastAsia="仿宋" w:cs="仿宋"/>
          <w:sz w:val="24"/>
        </w:rPr>
      </w:pPr>
    </w:p>
    <w:p w14:paraId="24E16C60">
      <w:pPr>
        <w:pStyle w:val="18"/>
        <w:spacing w:line="480" w:lineRule="auto"/>
        <w:ind w:firstLine="480"/>
        <w:jc w:val="left"/>
        <w:rPr>
          <w:rFonts w:hint="eastAsia" w:ascii="宋体" w:hAnsi="宋体" w:cs="宋体"/>
          <w:sz w:val="24"/>
        </w:rPr>
      </w:pPr>
      <w:r>
        <w:rPr>
          <w:rFonts w:hint="eastAsia" w:ascii="宋体" w:hAnsi="宋体" w:cs="宋体"/>
          <w:sz w:val="24"/>
        </w:rPr>
        <w:t>我方已知悉并清楚理解本次采购的全部内容，对本次采购作出实质性响应。同时我方声明:我司完全符合《政府采购法》第二十二条规定的条件</w:t>
      </w:r>
      <w:r>
        <w:rPr>
          <w:rFonts w:hint="eastAsia" w:ascii="宋体" w:hAnsi="宋体" w:cs="宋体"/>
          <w:sz w:val="24"/>
          <w:lang w:eastAsia="zh-CN"/>
        </w:rPr>
        <w:t>，</w:t>
      </w:r>
      <w:r>
        <w:rPr>
          <w:rFonts w:hint="eastAsia" w:ascii="宋体" w:hAnsi="宋体" w:cs="宋体"/>
          <w:sz w:val="24"/>
        </w:rPr>
        <w:t>且非联合体投标。所提供产品及服务均可满足学校采购参数要求，并按产品参数要求提供所需证明材料。如若我方不符合上述声明，则贵校有权随时无条件解除双方之间合同，一切责任均由我方承担。</w:t>
      </w:r>
    </w:p>
    <w:p w14:paraId="51DEC27A">
      <w:pPr>
        <w:pStyle w:val="18"/>
        <w:ind w:firstLine="480"/>
        <w:jc w:val="left"/>
        <w:rPr>
          <w:rFonts w:hint="eastAsia" w:ascii="宋体" w:hAnsi="宋体" w:cs="宋体"/>
          <w:sz w:val="24"/>
        </w:rPr>
      </w:pPr>
    </w:p>
    <w:p w14:paraId="7C855167">
      <w:pPr>
        <w:tabs>
          <w:tab w:val="left" w:pos="676"/>
          <w:tab w:val="left" w:pos="2330"/>
          <w:tab w:val="left" w:pos="9230"/>
        </w:tabs>
        <w:autoSpaceDE w:val="0"/>
        <w:autoSpaceDN w:val="0"/>
        <w:adjustRightInd w:val="0"/>
        <w:rPr>
          <w:rFonts w:hint="eastAsia" w:ascii="宋体" w:hAnsi="宋体" w:cs="宋体"/>
          <w:sz w:val="24"/>
        </w:rPr>
      </w:pPr>
    </w:p>
    <w:p w14:paraId="29154268">
      <w:pPr>
        <w:tabs>
          <w:tab w:val="left" w:pos="676"/>
          <w:tab w:val="left" w:pos="2330"/>
          <w:tab w:val="left" w:pos="9230"/>
        </w:tabs>
        <w:autoSpaceDE w:val="0"/>
        <w:autoSpaceDN w:val="0"/>
        <w:adjustRightInd w:val="0"/>
        <w:rPr>
          <w:rFonts w:hint="eastAsia" w:ascii="宋体" w:hAnsi="宋体" w:cs="宋体"/>
          <w:sz w:val="24"/>
        </w:rPr>
      </w:pPr>
    </w:p>
    <w:p w14:paraId="2231B54B">
      <w:pPr>
        <w:spacing w:line="480" w:lineRule="exact"/>
        <w:ind w:left="4599" w:leftChars="2190" w:firstLine="240" w:firstLineChars="100"/>
        <w:rPr>
          <w:rFonts w:hint="eastAsia" w:ascii="宋体" w:hAnsi="宋体" w:cs="宋体"/>
          <w:sz w:val="24"/>
        </w:rPr>
      </w:pPr>
      <w:r>
        <w:rPr>
          <w:rFonts w:hint="eastAsia" w:ascii="宋体" w:hAnsi="宋体" w:cs="宋体"/>
          <w:sz w:val="24"/>
        </w:rPr>
        <w:t>投标人（公章）：</w:t>
      </w:r>
    </w:p>
    <w:p w14:paraId="5A7F2849">
      <w:pPr>
        <w:spacing w:line="480" w:lineRule="exact"/>
        <w:ind w:left="4599" w:leftChars="2190" w:firstLine="240" w:firstLineChars="100"/>
        <w:rPr>
          <w:rFonts w:hint="eastAsia" w:ascii="宋体" w:hAnsi="宋体" w:cs="宋体"/>
          <w:sz w:val="24"/>
        </w:rPr>
      </w:pPr>
      <w:r>
        <w:rPr>
          <w:rFonts w:hint="eastAsia" w:ascii="宋体" w:hAnsi="宋体" w:cs="宋体"/>
          <w:sz w:val="24"/>
        </w:rPr>
        <w:t>投标人地址：</w:t>
      </w:r>
    </w:p>
    <w:p w14:paraId="3C314323">
      <w:pPr>
        <w:spacing w:line="480" w:lineRule="exact"/>
        <w:ind w:left="4838" w:leftChars="2304"/>
        <w:rPr>
          <w:rFonts w:hint="eastAsia" w:ascii="宋体" w:hAnsi="宋体" w:cs="宋体"/>
          <w:sz w:val="24"/>
        </w:rPr>
      </w:pPr>
      <w:r>
        <w:rPr>
          <w:rFonts w:hint="eastAsia" w:ascii="宋体" w:hAnsi="宋体" w:cs="宋体"/>
          <w:sz w:val="24"/>
        </w:rPr>
        <w:t>法定代表人或代理人姓名（手写签名）：</w:t>
      </w:r>
    </w:p>
    <w:p w14:paraId="4B073AD2">
      <w:pPr>
        <w:spacing w:line="480" w:lineRule="exact"/>
        <w:ind w:left="4599" w:leftChars="2190" w:firstLine="240" w:firstLineChars="100"/>
        <w:rPr>
          <w:rFonts w:hint="eastAsia" w:ascii="仿宋" w:hAnsi="仿宋" w:eastAsia="仿宋" w:cs="仿宋"/>
          <w:sz w:val="28"/>
          <w:szCs w:val="28"/>
        </w:rPr>
      </w:pPr>
      <w:r>
        <w:rPr>
          <w:rFonts w:hint="eastAsia" w:ascii="宋体" w:hAnsi="宋体" w:cs="宋体"/>
          <w:sz w:val="24"/>
        </w:rPr>
        <w:t>日    期：</w:t>
      </w:r>
    </w:p>
    <w:p w14:paraId="7B3ADAE3">
      <w:pPr>
        <w:rPr>
          <w:rFonts w:cs="Tahoma"/>
          <w:b/>
          <w:sz w:val="24"/>
        </w:rPr>
      </w:pPr>
    </w:p>
    <w:p w14:paraId="66E435E8">
      <w:pPr>
        <w:rPr>
          <w:rFonts w:cs="Tahoma"/>
          <w:b/>
          <w:sz w:val="24"/>
        </w:rPr>
      </w:pPr>
    </w:p>
    <w:p w14:paraId="1D8C1945">
      <w:pPr>
        <w:rPr>
          <w:rFonts w:cs="Tahoma"/>
          <w:b/>
          <w:sz w:val="24"/>
        </w:rPr>
      </w:pPr>
    </w:p>
    <w:p w14:paraId="68F24E78">
      <w:pPr>
        <w:rPr>
          <w:rFonts w:cs="Tahoma"/>
          <w:b/>
          <w:sz w:val="24"/>
        </w:rPr>
      </w:pPr>
    </w:p>
    <w:p w14:paraId="121FE320">
      <w:pPr>
        <w:rPr>
          <w:rFonts w:cs="Tahoma"/>
          <w:b/>
          <w:sz w:val="24"/>
        </w:rPr>
      </w:pPr>
    </w:p>
    <w:p w14:paraId="113705AE">
      <w:pPr>
        <w:rPr>
          <w:rFonts w:cs="Tahoma"/>
          <w:b/>
          <w:sz w:val="24"/>
        </w:rPr>
      </w:pPr>
    </w:p>
    <w:p w14:paraId="640C2B36">
      <w:pPr>
        <w:rPr>
          <w:rFonts w:cs="Tahoma"/>
          <w:b/>
          <w:sz w:val="24"/>
        </w:rPr>
      </w:pPr>
    </w:p>
    <w:p w14:paraId="6D0E1BA1">
      <w:pPr>
        <w:rPr>
          <w:rFonts w:cs="Tahoma"/>
          <w:b/>
          <w:sz w:val="24"/>
        </w:rPr>
      </w:pPr>
    </w:p>
    <w:p w14:paraId="1455C05A">
      <w:pPr>
        <w:pStyle w:val="9"/>
      </w:pPr>
      <w:r>
        <w:rPr>
          <w:rFonts w:hint="eastAsia" w:ascii="宋体" w:hAnsi="宋体" w:cs="宋体"/>
          <w:b/>
          <w:sz w:val="24"/>
        </w:rPr>
        <w:t>（注：本证明书为</w:t>
      </w:r>
      <w:r>
        <w:rPr>
          <w:rFonts w:hint="eastAsia" w:ascii="宋体" w:hAnsi="宋体" w:cs="宋体"/>
          <w:b/>
          <w:sz w:val="24"/>
          <w:u w:val="single"/>
        </w:rPr>
        <w:t>必要文件(不得改变格式)</w:t>
      </w:r>
      <w:r>
        <w:rPr>
          <w:rFonts w:hint="eastAsia" w:ascii="宋体" w:hAnsi="宋体" w:cs="宋体"/>
          <w:b/>
          <w:sz w:val="24"/>
        </w:rPr>
        <w:t>，必须</w:t>
      </w:r>
      <w:r>
        <w:rPr>
          <w:rFonts w:hint="eastAsia" w:ascii="宋体" w:hAnsi="宋体" w:cs="宋体"/>
          <w:b/>
          <w:sz w:val="24"/>
          <w:u w:val="single"/>
        </w:rPr>
        <w:t>加盖投标人公章</w:t>
      </w:r>
      <w:r>
        <w:rPr>
          <w:rFonts w:hint="eastAsia" w:ascii="宋体" w:hAnsi="宋体" w:cs="宋体"/>
          <w:b/>
          <w:sz w:val="24"/>
        </w:rPr>
        <w:t>，必须有法定代表人或代理人</w:t>
      </w:r>
      <w:r>
        <w:rPr>
          <w:rFonts w:hint="eastAsia" w:ascii="宋体" w:hAnsi="宋体" w:cs="宋体"/>
          <w:b/>
          <w:sz w:val="24"/>
          <w:u w:val="single"/>
        </w:rPr>
        <w:t>亲笔签名</w:t>
      </w:r>
      <w:r>
        <w:rPr>
          <w:rFonts w:hint="eastAsia" w:ascii="宋体" w:hAnsi="宋体" w:cs="宋体"/>
          <w:b/>
          <w:sz w:val="24"/>
        </w:rPr>
        <w:t>，否则，作无效处理）</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汉鼎简楷体">
    <w:altName w:val="宋体"/>
    <w:panose1 w:val="00000000000000000000"/>
    <w:charset w:val="86"/>
    <w:family w:val="modern"/>
    <w:pitch w:val="default"/>
    <w:sig w:usb0="00000000" w:usb1="00000000" w:usb2="00000010" w:usb3="00000000" w:csb0="00040000" w:csb1="00000000"/>
  </w:font>
  <w:font w:name="微软雅黑">
    <w:panose1 w:val="020B0503020204020204"/>
    <w:charset w:val="86"/>
    <w:family w:val="swiss"/>
    <w:pitch w:val="default"/>
    <w:sig w:usb0="80000287" w:usb1="2ACF3C50" w:usb2="00000016" w:usb3="00000000" w:csb0="0004001F" w:csb1="00000000"/>
  </w:font>
  <w:font w:name="Tahoma">
    <w:panose1 w:val="020B0604030504040204"/>
    <w:charset w:val="00"/>
    <w:family w:val="swiss"/>
    <w:pitch w:val="default"/>
    <w:sig w:usb0="E1002EFF" w:usb1="C000605B" w:usb2="00000029" w:usb3="00000000" w:csb0="200101FF" w:csb1="20280000"/>
  </w:font>
  <w:font w:name="仿宋">
    <w:panose1 w:val="02010609060101010101"/>
    <w:charset w:val="86"/>
    <w:family w:val="modern"/>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C86212D"/>
    <w:multiLevelType w:val="singleLevel"/>
    <w:tmpl w:val="9C86212D"/>
    <w:lvl w:ilvl="0" w:tentative="0">
      <w:start w:val="1"/>
      <w:numFmt w:val="decimal"/>
      <w:suff w:val="nothing"/>
      <w:lvlText w:val="%1．"/>
      <w:lvlJc w:val="left"/>
      <w:pPr>
        <w:ind w:left="0" w:firstLine="0"/>
      </w:pPr>
      <w:rPr>
        <w:rFonts w:hint="default"/>
      </w:rPr>
    </w:lvl>
  </w:abstractNum>
  <w:abstractNum w:abstractNumId="1">
    <w:nsid w:val="B6DC88D4"/>
    <w:multiLevelType w:val="singleLevel"/>
    <w:tmpl w:val="B6DC88D4"/>
    <w:lvl w:ilvl="0" w:tentative="0">
      <w:start w:val="1"/>
      <w:numFmt w:val="decimal"/>
      <w:suff w:val="nothing"/>
      <w:lvlText w:val="%1．"/>
      <w:lvlJc w:val="left"/>
      <w:pPr>
        <w:ind w:left="0" w:firstLine="0"/>
      </w:pPr>
      <w:rPr>
        <w:rFonts w:hint="default"/>
        <w:sz w:val="28"/>
        <w:szCs w:val="28"/>
      </w:rPr>
    </w:lvl>
  </w:abstractNum>
  <w:abstractNum w:abstractNumId="2">
    <w:nsid w:val="CE8A4AAE"/>
    <w:multiLevelType w:val="singleLevel"/>
    <w:tmpl w:val="CE8A4AAE"/>
    <w:lvl w:ilvl="0" w:tentative="0">
      <w:start w:val="1"/>
      <w:numFmt w:val="decimal"/>
      <w:suff w:val="nothing"/>
      <w:lvlText w:val="%1．"/>
      <w:lvlJc w:val="left"/>
      <w:pPr>
        <w:ind w:left="0" w:firstLine="0"/>
      </w:pPr>
      <w:rPr>
        <w:rFonts w:hint="default"/>
      </w:rPr>
    </w:lvl>
  </w:abstractNum>
  <w:abstractNum w:abstractNumId="3">
    <w:nsid w:val="D8665B07"/>
    <w:multiLevelType w:val="singleLevel"/>
    <w:tmpl w:val="D8665B07"/>
    <w:lvl w:ilvl="0" w:tentative="0">
      <w:start w:val="1"/>
      <w:numFmt w:val="decimal"/>
      <w:suff w:val="nothing"/>
      <w:lvlText w:val="(%1)"/>
      <w:lvlJc w:val="left"/>
      <w:pPr>
        <w:tabs>
          <w:tab w:val="left" w:pos="0"/>
        </w:tabs>
        <w:ind w:left="0" w:firstLine="0"/>
      </w:pPr>
      <w:rPr>
        <w:rFonts w:hint="default"/>
      </w:rPr>
    </w:lvl>
  </w:abstractNum>
  <w:abstractNum w:abstractNumId="4">
    <w:nsid w:val="DA10EFBD"/>
    <w:multiLevelType w:val="singleLevel"/>
    <w:tmpl w:val="DA10EFBD"/>
    <w:lvl w:ilvl="0" w:tentative="0">
      <w:start w:val="1"/>
      <w:numFmt w:val="chineseCounting"/>
      <w:suff w:val="nothing"/>
      <w:lvlText w:val="%1、"/>
      <w:lvlJc w:val="left"/>
      <w:pPr>
        <w:ind w:left="0" w:firstLine="420"/>
      </w:pPr>
      <w:rPr>
        <w:rFonts w:hint="eastAsia" w:ascii="宋体" w:hAnsi="宋体" w:eastAsia="宋体" w:cs="宋体"/>
        <w:b/>
        <w:bCs/>
        <w:sz w:val="28"/>
        <w:szCs w:val="28"/>
      </w:rPr>
    </w:lvl>
  </w:abstractNum>
  <w:abstractNum w:abstractNumId="5">
    <w:nsid w:val="0C8449BC"/>
    <w:multiLevelType w:val="singleLevel"/>
    <w:tmpl w:val="0C8449BC"/>
    <w:lvl w:ilvl="0" w:tentative="0">
      <w:start w:val="1"/>
      <w:numFmt w:val="chineseCounting"/>
      <w:suff w:val="nothing"/>
      <w:lvlText w:val="（%1）"/>
      <w:lvlJc w:val="left"/>
      <w:pPr>
        <w:ind w:left="0" w:firstLine="420"/>
      </w:pPr>
      <w:rPr>
        <w:rFonts w:hint="eastAsia"/>
        <w:sz w:val="28"/>
        <w:szCs w:val="28"/>
      </w:rPr>
    </w:lvl>
  </w:abstractNum>
  <w:abstractNum w:abstractNumId="6">
    <w:nsid w:val="332A0BF8"/>
    <w:multiLevelType w:val="multilevel"/>
    <w:tmpl w:val="332A0BF8"/>
    <w:lvl w:ilvl="0" w:tentative="0">
      <w:start w:val="1"/>
      <w:numFmt w:val="decimal"/>
      <w:lvlText w:val="%1、"/>
      <w:lvlJc w:val="left"/>
      <w:pPr>
        <w:ind w:left="696" w:hanging="360"/>
      </w:pPr>
      <w:rPr>
        <w:rFonts w:hint="default"/>
      </w:rPr>
    </w:lvl>
    <w:lvl w:ilvl="1" w:tentative="0">
      <w:start w:val="1"/>
      <w:numFmt w:val="lowerLetter"/>
      <w:lvlText w:val="%2)"/>
      <w:lvlJc w:val="left"/>
      <w:pPr>
        <w:ind w:left="1176" w:hanging="420"/>
      </w:pPr>
    </w:lvl>
    <w:lvl w:ilvl="2" w:tentative="0">
      <w:start w:val="1"/>
      <w:numFmt w:val="lowerRoman"/>
      <w:lvlText w:val="%3."/>
      <w:lvlJc w:val="right"/>
      <w:pPr>
        <w:ind w:left="1596" w:hanging="420"/>
      </w:pPr>
    </w:lvl>
    <w:lvl w:ilvl="3" w:tentative="0">
      <w:start w:val="1"/>
      <w:numFmt w:val="decimal"/>
      <w:lvlText w:val="%4."/>
      <w:lvlJc w:val="left"/>
      <w:pPr>
        <w:ind w:left="2016" w:hanging="420"/>
      </w:pPr>
    </w:lvl>
    <w:lvl w:ilvl="4" w:tentative="0">
      <w:start w:val="1"/>
      <w:numFmt w:val="lowerLetter"/>
      <w:lvlText w:val="%5)"/>
      <w:lvlJc w:val="left"/>
      <w:pPr>
        <w:ind w:left="2436" w:hanging="420"/>
      </w:pPr>
    </w:lvl>
    <w:lvl w:ilvl="5" w:tentative="0">
      <w:start w:val="1"/>
      <w:numFmt w:val="lowerRoman"/>
      <w:lvlText w:val="%6."/>
      <w:lvlJc w:val="right"/>
      <w:pPr>
        <w:ind w:left="2856" w:hanging="420"/>
      </w:pPr>
    </w:lvl>
    <w:lvl w:ilvl="6" w:tentative="0">
      <w:start w:val="1"/>
      <w:numFmt w:val="decimal"/>
      <w:lvlText w:val="%7."/>
      <w:lvlJc w:val="left"/>
      <w:pPr>
        <w:ind w:left="3276" w:hanging="420"/>
      </w:pPr>
    </w:lvl>
    <w:lvl w:ilvl="7" w:tentative="0">
      <w:start w:val="1"/>
      <w:numFmt w:val="lowerLetter"/>
      <w:lvlText w:val="%8)"/>
      <w:lvlJc w:val="left"/>
      <w:pPr>
        <w:ind w:left="3696" w:hanging="420"/>
      </w:pPr>
    </w:lvl>
    <w:lvl w:ilvl="8" w:tentative="0">
      <w:start w:val="1"/>
      <w:numFmt w:val="lowerRoman"/>
      <w:lvlText w:val="%9."/>
      <w:lvlJc w:val="right"/>
      <w:pPr>
        <w:ind w:left="4116" w:hanging="420"/>
      </w:pPr>
    </w:lvl>
  </w:abstractNum>
  <w:num w:numId="1">
    <w:abstractNumId w:val="4"/>
  </w:num>
  <w:num w:numId="2">
    <w:abstractNumId w:val="5"/>
  </w:num>
  <w:num w:numId="3">
    <w:abstractNumId w:val="2"/>
  </w:num>
  <w:num w:numId="4">
    <w:abstractNumId w:val="0"/>
  </w:num>
  <w:num w:numId="5">
    <w:abstractNumId w:val="3"/>
  </w:num>
  <w:num w:numId="6">
    <w:abstractNumId w:val="1"/>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mI0ZTQ3MTY3YzU3ZTNhN2EzZDZjNWJhMzY5ODBmYTAifQ=="/>
  </w:docVars>
  <w:rsids>
    <w:rsidRoot w:val="001454E5"/>
    <w:rsid w:val="000A51BB"/>
    <w:rsid w:val="000A76F3"/>
    <w:rsid w:val="001454E5"/>
    <w:rsid w:val="003F5DB3"/>
    <w:rsid w:val="004B533F"/>
    <w:rsid w:val="00631236"/>
    <w:rsid w:val="00701C6D"/>
    <w:rsid w:val="008145C0"/>
    <w:rsid w:val="009D1330"/>
    <w:rsid w:val="00B52230"/>
    <w:rsid w:val="00CB09AB"/>
    <w:rsid w:val="00CF0F80"/>
    <w:rsid w:val="00DA41C1"/>
    <w:rsid w:val="03353615"/>
    <w:rsid w:val="05B2371B"/>
    <w:rsid w:val="05D34F20"/>
    <w:rsid w:val="06B807E5"/>
    <w:rsid w:val="06D73361"/>
    <w:rsid w:val="072E0AA7"/>
    <w:rsid w:val="078E5DFF"/>
    <w:rsid w:val="08DB0410"/>
    <w:rsid w:val="0A007C96"/>
    <w:rsid w:val="0A062E0C"/>
    <w:rsid w:val="0A6A0048"/>
    <w:rsid w:val="0A902BF5"/>
    <w:rsid w:val="0BDD0CD5"/>
    <w:rsid w:val="0C7C0B92"/>
    <w:rsid w:val="0F001001"/>
    <w:rsid w:val="0FA14F53"/>
    <w:rsid w:val="0FAC7731"/>
    <w:rsid w:val="10D601E5"/>
    <w:rsid w:val="115E574A"/>
    <w:rsid w:val="11C867BE"/>
    <w:rsid w:val="11FE03CA"/>
    <w:rsid w:val="120B2110"/>
    <w:rsid w:val="12221D7B"/>
    <w:rsid w:val="1269161B"/>
    <w:rsid w:val="131C20FB"/>
    <w:rsid w:val="14325D10"/>
    <w:rsid w:val="15ED073F"/>
    <w:rsid w:val="17A81ECF"/>
    <w:rsid w:val="17D47448"/>
    <w:rsid w:val="19F26CAA"/>
    <w:rsid w:val="1A444EEE"/>
    <w:rsid w:val="1D440623"/>
    <w:rsid w:val="1E311151"/>
    <w:rsid w:val="1F507DBE"/>
    <w:rsid w:val="1F756DE8"/>
    <w:rsid w:val="1FC91AFB"/>
    <w:rsid w:val="212177E3"/>
    <w:rsid w:val="229D1137"/>
    <w:rsid w:val="24BB1A74"/>
    <w:rsid w:val="25203CCD"/>
    <w:rsid w:val="264A6E5E"/>
    <w:rsid w:val="27402C58"/>
    <w:rsid w:val="2C180514"/>
    <w:rsid w:val="2E1609D1"/>
    <w:rsid w:val="2E2D7909"/>
    <w:rsid w:val="2EA65243"/>
    <w:rsid w:val="31993A3E"/>
    <w:rsid w:val="31C52C12"/>
    <w:rsid w:val="32673192"/>
    <w:rsid w:val="359F7914"/>
    <w:rsid w:val="36E731F1"/>
    <w:rsid w:val="370945C1"/>
    <w:rsid w:val="375D5654"/>
    <w:rsid w:val="37753A04"/>
    <w:rsid w:val="39142D2B"/>
    <w:rsid w:val="3B3360B0"/>
    <w:rsid w:val="3D5642D8"/>
    <w:rsid w:val="3D840E45"/>
    <w:rsid w:val="3E757CD3"/>
    <w:rsid w:val="3E893E94"/>
    <w:rsid w:val="3F516B05"/>
    <w:rsid w:val="3F9D2CB9"/>
    <w:rsid w:val="405E6DAB"/>
    <w:rsid w:val="40C72EA9"/>
    <w:rsid w:val="41E55156"/>
    <w:rsid w:val="4221507E"/>
    <w:rsid w:val="44396ED8"/>
    <w:rsid w:val="447F13B3"/>
    <w:rsid w:val="44B0765F"/>
    <w:rsid w:val="45ED3300"/>
    <w:rsid w:val="460A3C4D"/>
    <w:rsid w:val="48A835D7"/>
    <w:rsid w:val="493F0316"/>
    <w:rsid w:val="49A34401"/>
    <w:rsid w:val="4B1F346C"/>
    <w:rsid w:val="4C800A2A"/>
    <w:rsid w:val="4D1A2C2C"/>
    <w:rsid w:val="4D976207"/>
    <w:rsid w:val="4E0B131C"/>
    <w:rsid w:val="4E3715BC"/>
    <w:rsid w:val="4E79218D"/>
    <w:rsid w:val="4EA67132"/>
    <w:rsid w:val="508D3CB3"/>
    <w:rsid w:val="50B04307"/>
    <w:rsid w:val="50E34490"/>
    <w:rsid w:val="5116195C"/>
    <w:rsid w:val="526C7E21"/>
    <w:rsid w:val="534327B1"/>
    <w:rsid w:val="536A2CA6"/>
    <w:rsid w:val="53A64BAC"/>
    <w:rsid w:val="56BD287A"/>
    <w:rsid w:val="5875432E"/>
    <w:rsid w:val="5AB5741E"/>
    <w:rsid w:val="5D2B6790"/>
    <w:rsid w:val="5D93012F"/>
    <w:rsid w:val="5F21609C"/>
    <w:rsid w:val="5F4D7788"/>
    <w:rsid w:val="5FA34D03"/>
    <w:rsid w:val="60194955"/>
    <w:rsid w:val="632E2B36"/>
    <w:rsid w:val="63EA3E83"/>
    <w:rsid w:val="64C235B4"/>
    <w:rsid w:val="670B7726"/>
    <w:rsid w:val="671B3414"/>
    <w:rsid w:val="69175343"/>
    <w:rsid w:val="6A532BBE"/>
    <w:rsid w:val="6AA5542C"/>
    <w:rsid w:val="6C72589E"/>
    <w:rsid w:val="6DA240C6"/>
    <w:rsid w:val="6EB92BCC"/>
    <w:rsid w:val="6F244C95"/>
    <w:rsid w:val="6FEA3571"/>
    <w:rsid w:val="72D1172F"/>
    <w:rsid w:val="7320696C"/>
    <w:rsid w:val="74844CAB"/>
    <w:rsid w:val="750B2761"/>
    <w:rsid w:val="754937FF"/>
    <w:rsid w:val="76E77774"/>
    <w:rsid w:val="774EE9EE"/>
    <w:rsid w:val="781E4519"/>
    <w:rsid w:val="78D43D28"/>
    <w:rsid w:val="7A031D6B"/>
    <w:rsid w:val="7A6D61E2"/>
    <w:rsid w:val="7AA31C03"/>
    <w:rsid w:val="7AF20495"/>
    <w:rsid w:val="7C096877"/>
    <w:rsid w:val="7C580BF1"/>
    <w:rsid w:val="7FFF2AF9"/>
    <w:rsid w:val="9FAC410C"/>
    <w:rsid w:val="CBFBD130"/>
    <w:rsid w:val="D73E7720"/>
    <w:rsid w:val="E9FFF72D"/>
    <w:rsid w:val="F77CFD32"/>
    <w:rsid w:val="FADF95B9"/>
    <w:rsid w:val="FAFF3886"/>
    <w:rsid w:val="FFFA580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autoRedefine/>
    <w:qFormat/>
    <w:uiPriority w:val="0"/>
    <w:pPr>
      <w:spacing w:beforeAutospacing="1" w:afterAutospacing="1"/>
      <w:jc w:val="left"/>
      <w:outlineLvl w:val="0"/>
    </w:pPr>
    <w:rPr>
      <w:rFonts w:hint="eastAsia" w:ascii="宋体" w:hAnsi="宋体"/>
      <w:b/>
      <w:kern w:val="44"/>
      <w:sz w:val="48"/>
      <w:szCs w:val="48"/>
    </w:rPr>
  </w:style>
  <w:style w:type="paragraph" w:styleId="3">
    <w:name w:val="heading 2"/>
    <w:basedOn w:val="1"/>
    <w:next w:val="1"/>
    <w:autoRedefine/>
    <w:qFormat/>
    <w:uiPriority w:val="0"/>
    <w:pPr>
      <w:keepNext/>
      <w:keepLines/>
      <w:spacing w:before="260" w:after="260" w:line="416" w:lineRule="auto"/>
      <w:outlineLvl w:val="1"/>
    </w:pPr>
    <w:rPr>
      <w:rFonts w:ascii="Arial" w:hAnsi="Arial"/>
      <w:b/>
      <w:sz w:val="28"/>
      <w:szCs w:val="32"/>
    </w:rPr>
  </w:style>
  <w:style w:type="character" w:default="1" w:styleId="13">
    <w:name w:val="Default Paragraph Font"/>
    <w:semiHidden/>
    <w:unhideWhenUsed/>
    <w:uiPriority w:val="1"/>
  </w:style>
  <w:style w:type="table" w:default="1" w:styleId="12">
    <w:name w:val="Normal Table"/>
    <w:semiHidden/>
    <w:unhideWhenUsed/>
    <w:uiPriority w:val="99"/>
    <w:tblPr>
      <w:tblCellMar>
        <w:top w:w="0" w:type="dxa"/>
        <w:left w:w="108" w:type="dxa"/>
        <w:bottom w:w="0" w:type="dxa"/>
        <w:right w:w="108" w:type="dxa"/>
      </w:tblCellMar>
    </w:tblPr>
  </w:style>
  <w:style w:type="paragraph" w:styleId="4">
    <w:name w:val="annotation text"/>
    <w:basedOn w:val="1"/>
    <w:uiPriority w:val="0"/>
    <w:pPr>
      <w:jc w:val="left"/>
    </w:pPr>
  </w:style>
  <w:style w:type="paragraph" w:styleId="5">
    <w:name w:val="Body Text"/>
    <w:basedOn w:val="1"/>
    <w:autoRedefine/>
    <w:qFormat/>
    <w:uiPriority w:val="0"/>
    <w:pPr>
      <w:spacing w:line="460" w:lineRule="exact"/>
    </w:pPr>
    <w:rPr>
      <w:rFonts w:ascii="汉鼎简楷体" w:hAnsi="宋体" w:eastAsia="汉鼎简楷体"/>
      <w:b/>
      <w:bCs/>
      <w:spacing w:val="4"/>
      <w:sz w:val="24"/>
      <w:szCs w:val="20"/>
    </w:rPr>
  </w:style>
  <w:style w:type="paragraph" w:styleId="6">
    <w:name w:val="Plain Text"/>
    <w:basedOn w:val="1"/>
    <w:autoRedefine/>
    <w:qFormat/>
    <w:uiPriority w:val="0"/>
    <w:rPr>
      <w:rFonts w:ascii="宋体" w:hAnsi="Courier New"/>
      <w:sz w:val="20"/>
    </w:rPr>
  </w:style>
  <w:style w:type="paragraph" w:styleId="7">
    <w:name w:val="footer"/>
    <w:basedOn w:val="1"/>
    <w:autoRedefine/>
    <w:qFormat/>
    <w:uiPriority w:val="99"/>
    <w:pPr>
      <w:tabs>
        <w:tab w:val="center" w:pos="4153"/>
        <w:tab w:val="right" w:pos="8306"/>
      </w:tabs>
      <w:snapToGrid w:val="0"/>
      <w:jc w:val="left"/>
    </w:pPr>
    <w:rPr>
      <w:sz w:val="18"/>
      <w:szCs w:val="18"/>
    </w:rPr>
  </w:style>
  <w:style w:type="paragraph" w:styleId="8">
    <w:name w:val="header"/>
    <w:basedOn w:val="1"/>
    <w:next w:val="7"/>
    <w:autoRedefine/>
    <w:qFormat/>
    <w:uiPriority w:val="99"/>
    <w:pPr>
      <w:pBdr>
        <w:bottom w:val="single" w:color="auto" w:sz="6" w:space="1"/>
      </w:pBdr>
      <w:tabs>
        <w:tab w:val="center" w:pos="4153"/>
        <w:tab w:val="right" w:pos="8306"/>
      </w:tabs>
      <w:snapToGrid w:val="0"/>
      <w:jc w:val="center"/>
    </w:pPr>
    <w:rPr>
      <w:sz w:val="18"/>
      <w:szCs w:val="18"/>
    </w:rPr>
  </w:style>
  <w:style w:type="paragraph" w:styleId="9">
    <w:name w:val="toc 1"/>
    <w:basedOn w:val="1"/>
    <w:next w:val="1"/>
    <w:autoRedefine/>
    <w:qFormat/>
    <w:uiPriority w:val="39"/>
  </w:style>
  <w:style w:type="paragraph" w:styleId="10">
    <w:name w:val="Normal (Web)"/>
    <w:basedOn w:val="1"/>
    <w:autoRedefine/>
    <w:qFormat/>
    <w:uiPriority w:val="99"/>
    <w:pPr>
      <w:widowControl/>
      <w:spacing w:before="100" w:beforeAutospacing="1" w:after="100" w:afterAutospacing="1"/>
      <w:jc w:val="left"/>
    </w:pPr>
    <w:rPr>
      <w:rFonts w:ascii="宋体" w:hAnsi="宋体"/>
      <w:kern w:val="0"/>
      <w:sz w:val="24"/>
    </w:rPr>
  </w:style>
  <w:style w:type="paragraph" w:styleId="11">
    <w:name w:val="Body Text First Indent"/>
    <w:basedOn w:val="5"/>
    <w:qFormat/>
    <w:uiPriority w:val="0"/>
    <w:pPr>
      <w:spacing w:after="120"/>
      <w:ind w:firstLine="420" w:firstLineChars="100"/>
    </w:pPr>
    <w:rPr>
      <w:rFonts w:ascii="Calibri" w:hAnsi="Calibri"/>
      <w:sz w:val="21"/>
      <w:szCs w:val="22"/>
    </w:rPr>
  </w:style>
  <w:style w:type="character" w:styleId="14">
    <w:name w:val="annotation reference"/>
    <w:basedOn w:val="13"/>
    <w:qFormat/>
    <w:uiPriority w:val="0"/>
    <w:rPr>
      <w:sz w:val="21"/>
      <w:szCs w:val="21"/>
    </w:rPr>
  </w:style>
  <w:style w:type="paragraph" w:customStyle="1" w:styleId="15">
    <w:name w:val="Default"/>
    <w:next w:val="8"/>
    <w:autoRedefine/>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paragraph" w:customStyle="1" w:styleId="16">
    <w:name w:val="＃Ｄ级样式"/>
    <w:basedOn w:val="1"/>
    <w:next w:val="1"/>
    <w:autoRedefine/>
    <w:qFormat/>
    <w:uiPriority w:val="0"/>
    <w:pPr>
      <w:autoSpaceDE w:val="0"/>
      <w:autoSpaceDN w:val="0"/>
      <w:adjustRightInd w:val="0"/>
      <w:spacing w:line="460" w:lineRule="exact"/>
      <w:ind w:firstLine="480" w:firstLineChars="200"/>
    </w:pPr>
    <w:rPr>
      <w:rFonts w:ascii="Arial" w:hAnsi="Arial"/>
      <w:bCs/>
      <w:sz w:val="24"/>
    </w:rPr>
  </w:style>
  <w:style w:type="paragraph" w:styleId="17">
    <w:name w:val="List Paragraph"/>
    <w:basedOn w:val="1"/>
    <w:autoRedefine/>
    <w:unhideWhenUsed/>
    <w:qFormat/>
    <w:uiPriority w:val="34"/>
    <w:pPr>
      <w:ind w:firstLine="420" w:firstLineChars="200"/>
    </w:pPr>
  </w:style>
  <w:style w:type="paragraph" w:customStyle="1" w:styleId="18">
    <w:name w:val="_Style 3"/>
    <w:basedOn w:val="1"/>
    <w:autoRedefine/>
    <w:qFormat/>
    <w:uiPriority w:val="99"/>
    <w:pPr>
      <w:ind w:firstLine="420" w:firstLineChars="200"/>
    </w:pPr>
    <w:rPr>
      <w:sz w:val="20"/>
    </w:rPr>
  </w:style>
  <w:style w:type="paragraph" w:customStyle="1" w:styleId="19">
    <w:name w:val="图"/>
    <w:basedOn w:val="1"/>
    <w:qFormat/>
    <w:uiPriority w:val="99"/>
    <w:pPr>
      <w:keepNext/>
      <w:snapToGrid w:val="0"/>
      <w:spacing w:before="60" w:after="60" w:line="300" w:lineRule="auto"/>
      <w:jc w:val="center"/>
    </w:pPr>
    <w:rPr>
      <w:spacing w:val="20"/>
      <w:sz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18</Pages>
  <Words>13650</Words>
  <Characters>14763</Characters>
  <Lines>126</Lines>
  <Paragraphs>35</Paragraphs>
  <TotalTime>2</TotalTime>
  <ScaleCrop>false</ScaleCrop>
  <LinksUpToDate>false</LinksUpToDate>
  <CharactersWithSpaces>15115</CharactersWithSpaces>
  <Application>WPS Office_12.1.0.18276_F1E327BC-269C-435d-A152-05C5408002CA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2021-07-20T10:19:00Z</dcterms:created>
  <dc:creator>nuoxiyu</dc:creator>
  <cp:lastModifiedBy>sunrise</cp:lastModifiedBy>
  <dcterms:modified xsi:type="dcterms:W3CDTF">2024-10-09T00:48:54Z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2052-12.1.0.18276</vt:lpwstr>
  </property>
  <property fmtid="{D5CDD505-2E9C-101B-9397-08002B2CF9AE}" pid="3" name="ICV">
    <vt:lpwstr>8C2E2D5240C14A549A646BC16E656E8B_13</vt:lpwstr>
  </property>
</Properties>
</file>