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BBBB9F">
      <w:pPr>
        <w:jc w:val="center"/>
        <w:rPr>
          <w:rFonts w:hint="eastAsia"/>
          <w:lang w:val="en-US" w:eastAsia="zh-CN"/>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广东生态工程职业学院采购广东省第七届高校（高职）青年教师教学大赛决赛酒店服务项目</w:t>
      </w:r>
      <w:r>
        <w:rPr>
          <w:rFonts w:hint="eastAsia" w:asciiTheme="majorEastAsia" w:hAnsiTheme="majorEastAsia" w:eastAsiaTheme="majorEastAsia" w:cstheme="majorEastAsia"/>
          <w:b/>
          <w:sz w:val="36"/>
          <w:szCs w:val="36"/>
          <w:lang w:val="en-US" w:eastAsia="zh-CN"/>
        </w:rPr>
        <w:t>需求书</w:t>
      </w:r>
    </w:p>
    <w:p w14:paraId="68EB018A">
      <w:pPr>
        <w:spacing w:line="360" w:lineRule="auto"/>
        <w:jc w:val="left"/>
        <w:rPr>
          <w:rFonts w:hint="eastAsia" w:ascii="宋体" w:hAnsi="宋体" w:eastAsia="宋体" w:cs="宋体"/>
          <w:b w:val="0"/>
          <w:bCs w:val="0"/>
          <w:sz w:val="28"/>
          <w:szCs w:val="28"/>
        </w:rPr>
      </w:pPr>
    </w:p>
    <w:p w14:paraId="510B7F1E">
      <w:pPr>
        <w:pStyle w:val="15"/>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default" w:ascii="宋体" w:hAnsi="宋体" w:eastAsia="宋体" w:cs="宋体"/>
          <w:b w:val="0"/>
          <w:bCs/>
          <w:kern w:val="2"/>
          <w:sz w:val="28"/>
          <w:szCs w:val="28"/>
          <w:lang w:val="en-US" w:eastAsia="zh-CN" w:bidi="ar-SA"/>
        </w:rPr>
      </w:pPr>
      <w:r>
        <w:rPr>
          <w:rFonts w:hint="eastAsia" w:ascii="宋体" w:hAnsi="宋体" w:eastAsia="宋体" w:cs="宋体"/>
          <w:b/>
          <w:bCs w:val="0"/>
          <w:kern w:val="2"/>
          <w:sz w:val="28"/>
          <w:szCs w:val="28"/>
          <w:lang w:val="en-US" w:eastAsia="zh-CN" w:bidi="ar-SA"/>
        </w:rPr>
        <w:t>项目名称:</w:t>
      </w:r>
      <w:r>
        <w:rPr>
          <w:rFonts w:hint="eastAsia" w:ascii="宋体" w:hAnsi="宋体" w:eastAsia="宋体" w:cs="宋体"/>
          <w:b w:val="0"/>
          <w:bCs/>
          <w:kern w:val="2"/>
          <w:sz w:val="28"/>
          <w:szCs w:val="28"/>
          <w:lang w:val="en-US" w:eastAsia="zh-CN" w:bidi="ar-SA"/>
        </w:rPr>
        <w:t>广东生态工程职业学院采购广东省第七届高校（高职）青年教师教学大赛决赛酒店服务采购项目</w:t>
      </w:r>
    </w:p>
    <w:p w14:paraId="69592F02">
      <w:pPr>
        <w:pStyle w:val="15"/>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rPr>
      </w:pPr>
      <w:r>
        <w:rPr>
          <w:rFonts w:hint="eastAsia" w:ascii="宋体" w:hAnsi="宋体" w:eastAsia="宋体" w:cs="宋体"/>
          <w:b/>
          <w:bCs w:val="0"/>
          <w:kern w:val="2"/>
          <w:sz w:val="28"/>
          <w:szCs w:val="28"/>
          <w:lang w:val="en-US" w:eastAsia="zh-CN" w:bidi="ar-SA"/>
        </w:rPr>
        <w:t>项目预算：</w:t>
      </w:r>
      <w:r>
        <w:rPr>
          <w:rFonts w:hint="eastAsia" w:ascii="宋体" w:hAnsi="宋体" w:eastAsia="宋体" w:cs="宋体"/>
          <w:b w:val="0"/>
          <w:bCs/>
          <w:kern w:val="2"/>
          <w:sz w:val="28"/>
          <w:szCs w:val="28"/>
          <w:lang w:val="en-US" w:eastAsia="zh-CN" w:bidi="ar-SA"/>
        </w:rPr>
        <w:t>35840.00元</w:t>
      </w:r>
    </w:p>
    <w:p w14:paraId="716A359D">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建设</w:t>
      </w:r>
      <w:r>
        <w:rPr>
          <w:rFonts w:hint="eastAsia" w:ascii="宋体" w:hAnsi="宋体" w:eastAsia="宋体" w:cs="宋体"/>
          <w:b/>
          <w:bCs/>
          <w:sz w:val="28"/>
          <w:szCs w:val="28"/>
        </w:rPr>
        <w:t>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广州市天河区广汕一路297号</w:t>
      </w:r>
    </w:p>
    <w:p w14:paraId="4581EC6C">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项目报价：</w:t>
      </w:r>
      <w:r>
        <w:rPr>
          <w:rFonts w:hint="eastAsia" w:ascii="宋体" w:hAnsi="宋体" w:cs="宋体"/>
          <w:b w:val="0"/>
          <w:bCs w:val="0"/>
          <w:sz w:val="28"/>
          <w:szCs w:val="28"/>
          <w:lang w:val="en-US" w:eastAsia="zh-CN"/>
        </w:rPr>
        <w:t>超过预算金额则视为无效报价</w:t>
      </w:r>
    </w:p>
    <w:p w14:paraId="286875D1">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供应商须知：</w:t>
      </w:r>
    </w:p>
    <w:p w14:paraId="31D5DCC4">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供应商应具备《政府采购法》第二十二条规定的条件。</w:t>
      </w:r>
    </w:p>
    <w:p w14:paraId="4DF8855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投标人是具有独立承担民事责任能力的法人或其他组织；（提供营业执照、税务登记证及组织机构代码证、或三证合一复印件）；</w:t>
      </w:r>
    </w:p>
    <w:p w14:paraId="62AA5604">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具有履行合同所必需的设备和专业技术能力；</w:t>
      </w:r>
    </w:p>
    <w:p w14:paraId="28EAD7A3">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投标人具有依法纳税和社会保障资金的良好记录；</w:t>
      </w:r>
    </w:p>
    <w:p w14:paraId="5CA7EFB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具有良好的商业信誉和健全的财务会计制度；</w:t>
      </w:r>
    </w:p>
    <w:p w14:paraId="05E90265">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活动前三年内，在经营活动中无重大违法记录。</w:t>
      </w:r>
    </w:p>
    <w:p w14:paraId="3EB4227C">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报价供应商认真查看项目需求书（附件），根据项目需求书上的要求填写信息和提交资料，报价表不允许改动并完整打印，否则视为无效报价（备注：所提供的资料均需加盖公章）。</w:t>
      </w:r>
    </w:p>
    <w:p w14:paraId="57C4BD03">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落实《政府采购促进中小企业发展管理办法》有关规定，中小企业须提供中小企业声明函。</w:t>
      </w:r>
    </w:p>
    <w:p w14:paraId="7DB17F9F">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本项目不接受联合体竞价。</w:t>
      </w:r>
    </w:p>
    <w:p w14:paraId="08879AA3">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截止递交报价文件的</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时间为202</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4</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年</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10</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月</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30</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日下午3点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报价供应商可通过快递寄送（必须用顺丰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p>
    <w:p w14:paraId="0CB7AEA3">
      <w:pPr>
        <w:numPr>
          <w:ilvl w:val="0"/>
          <w:numId w:val="2"/>
        </w:numPr>
        <w:spacing w:line="360" w:lineRule="auto"/>
        <w:ind w:left="0" w:leftChars="0" w:firstLine="420" w:firstLineChars="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投标联系人：刘老师  联系方式：19867570340</w:t>
      </w:r>
    </w:p>
    <w:p w14:paraId="7944C4C4">
      <w:pPr>
        <w:numPr>
          <w:ilvl w:val="0"/>
          <w:numId w:val="2"/>
        </w:numPr>
        <w:spacing w:line="360" w:lineRule="auto"/>
        <w:ind w:left="0" w:leftChars="0" w:firstLine="420" w:firstLineChars="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投标地址：广州市天河区广汕一路297号广东生态工程职业学院办公楼203室，可快递寄送（必须用顺丰快递）或现场递交。</w:t>
      </w:r>
    </w:p>
    <w:p w14:paraId="5B98647A">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项目内容及要求:</w:t>
      </w:r>
    </w:p>
    <w:p w14:paraId="35A4CBB6">
      <w:pPr>
        <w:keepNext w:val="0"/>
        <w:keepLines w:val="0"/>
        <w:pageBreakBefore w:val="0"/>
        <w:widowControl w:val="0"/>
        <w:numPr>
          <w:ilvl w:val="0"/>
          <w:numId w:val="0"/>
        </w:numPr>
        <w:kinsoku/>
        <w:wordWrap/>
        <w:overflowPunct/>
        <w:topLinePunct w:val="0"/>
        <w:bidi w:val="0"/>
        <w:snapToGrid/>
        <w:spacing w:line="360" w:lineRule="auto"/>
        <w:ind w:leftChars="200"/>
        <w:textAlignment w:val="auto"/>
        <w:rPr>
          <w:rFonts w:hint="default" w:ascii="宋体" w:hAnsi="宋体" w:cs="宋体"/>
          <w:b/>
          <w:bCs/>
          <w:sz w:val="28"/>
          <w:szCs w:val="28"/>
          <w:lang w:val="en-US" w:eastAsia="zh-CN"/>
        </w:rPr>
      </w:pPr>
      <w:r>
        <w:rPr>
          <w:rFonts w:hint="eastAsia" w:ascii="宋体" w:hAnsi="宋体" w:cs="宋体"/>
          <w:b/>
          <w:bCs/>
          <w:sz w:val="28"/>
          <w:szCs w:val="28"/>
          <w:lang w:val="en-US" w:eastAsia="zh-CN"/>
        </w:rPr>
        <w:t>（一）项目内容</w:t>
      </w:r>
    </w:p>
    <w:tbl>
      <w:tblPr>
        <w:tblStyle w:val="11"/>
        <w:tblW w:w="5714" w:type="pct"/>
        <w:jc w:val="center"/>
        <w:tblLayout w:type="autofit"/>
        <w:tblCellMar>
          <w:top w:w="0" w:type="dxa"/>
          <w:left w:w="0" w:type="dxa"/>
          <w:bottom w:w="0" w:type="dxa"/>
          <w:right w:w="0" w:type="dxa"/>
        </w:tblCellMar>
      </w:tblPr>
      <w:tblGrid>
        <w:gridCol w:w="1451"/>
        <w:gridCol w:w="8053"/>
      </w:tblGrid>
      <w:tr w14:paraId="4875885F">
        <w:tblPrEx>
          <w:tblCellMar>
            <w:top w:w="0" w:type="dxa"/>
            <w:left w:w="0" w:type="dxa"/>
            <w:bottom w:w="0" w:type="dxa"/>
            <w:right w:w="0" w:type="dxa"/>
          </w:tblCellMar>
        </w:tblPrEx>
        <w:trPr>
          <w:trHeight w:val="621" w:hRule="atLeast"/>
          <w:jc w:val="center"/>
        </w:trPr>
        <w:tc>
          <w:tcPr>
            <w:tcW w:w="7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22BF62">
            <w:pPr>
              <w:widowControl/>
              <w:jc w:val="center"/>
              <w:textAlignment w:val="center"/>
              <w:rPr>
                <w:rFonts w:hint="default" w:ascii="仿宋" w:hAnsi="仿宋" w:eastAsia="仿宋" w:cs="仿宋"/>
                <w:b/>
                <w:bCs/>
                <w:color w:val="000000"/>
                <w:sz w:val="24"/>
                <w:lang w:val="en-US"/>
              </w:rPr>
            </w:pPr>
            <w:r>
              <w:rPr>
                <w:rFonts w:hint="eastAsia" w:ascii="仿宋" w:hAnsi="仿宋" w:eastAsia="仿宋" w:cs="仿宋"/>
                <w:b/>
                <w:bCs/>
                <w:color w:val="000000"/>
                <w:kern w:val="0"/>
                <w:sz w:val="24"/>
                <w:szCs w:val="24"/>
                <w:lang w:val="en-US" w:eastAsia="zh-CN" w:bidi="ar"/>
              </w:rPr>
              <w:t>服务内容</w:t>
            </w:r>
          </w:p>
        </w:tc>
        <w:tc>
          <w:tcPr>
            <w:tcW w:w="42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4BC24B">
            <w:pPr>
              <w:widowControl/>
              <w:jc w:val="center"/>
              <w:textAlignment w:val="center"/>
              <w:rPr>
                <w:rFonts w:hint="eastAsia" w:ascii="仿宋" w:hAnsi="仿宋" w:eastAsia="仿宋" w:cs="仿宋"/>
                <w:b/>
                <w:bCs/>
                <w:color w:val="000000"/>
                <w:sz w:val="24"/>
                <w:lang w:eastAsia="zh-CN"/>
              </w:rPr>
            </w:pPr>
            <w:r>
              <w:rPr>
                <w:rFonts w:hint="eastAsia" w:ascii="仿宋" w:hAnsi="仿宋" w:eastAsia="仿宋" w:cs="仿宋"/>
                <w:b/>
                <w:bCs/>
                <w:color w:val="000000"/>
                <w:kern w:val="0"/>
                <w:sz w:val="24"/>
                <w:szCs w:val="24"/>
                <w:lang w:bidi="ar"/>
              </w:rPr>
              <w:t>具体</w:t>
            </w:r>
            <w:r>
              <w:rPr>
                <w:rFonts w:hint="eastAsia" w:ascii="仿宋" w:hAnsi="仿宋" w:eastAsia="仿宋" w:cs="仿宋"/>
                <w:b/>
                <w:bCs/>
                <w:color w:val="000000"/>
                <w:kern w:val="0"/>
                <w:sz w:val="24"/>
                <w:szCs w:val="24"/>
                <w:lang w:val="en-US" w:eastAsia="zh-CN" w:bidi="ar"/>
              </w:rPr>
              <w:t>要求</w:t>
            </w:r>
          </w:p>
        </w:tc>
      </w:tr>
      <w:tr w14:paraId="3AD72FC3">
        <w:tblPrEx>
          <w:tblCellMar>
            <w:top w:w="0" w:type="dxa"/>
            <w:left w:w="0" w:type="dxa"/>
            <w:bottom w:w="0" w:type="dxa"/>
            <w:right w:w="0" w:type="dxa"/>
          </w:tblCellMar>
        </w:tblPrEx>
        <w:trPr>
          <w:trHeight w:val="3373" w:hRule="atLeast"/>
          <w:jc w:val="center"/>
        </w:trPr>
        <w:tc>
          <w:tcPr>
            <w:tcW w:w="7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8BA42B">
            <w:pPr>
              <w:widowControl/>
              <w:jc w:val="center"/>
              <w:textAlignment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广东省第七届高校（高职）青年教师教学大赛决赛酒店服务</w:t>
            </w:r>
          </w:p>
        </w:tc>
        <w:tc>
          <w:tcPr>
            <w:tcW w:w="42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695C80">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b/>
                <w:bCs/>
                <w:sz w:val="24"/>
                <w:szCs w:val="24"/>
                <w:lang w:val="en-US" w:eastAsia="zh-CN"/>
              </w:rPr>
              <w:t>一、服务内容：</w:t>
            </w:r>
            <w:r>
              <w:rPr>
                <w:rFonts w:hint="default" w:ascii="仿宋" w:hAnsi="仿宋" w:eastAsia="仿宋" w:cs="仿宋"/>
                <w:sz w:val="24"/>
                <w:szCs w:val="24"/>
                <w:lang w:val="en-US" w:eastAsia="zh-CN"/>
              </w:rPr>
              <w:t>入住接待、自助早晚餐、停车服务、住房服务。</w:t>
            </w:r>
          </w:p>
          <w:p w14:paraId="548C2997">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b/>
                <w:bCs/>
                <w:sz w:val="24"/>
                <w:szCs w:val="24"/>
                <w:lang w:val="en-US" w:eastAsia="zh-CN"/>
              </w:rPr>
              <w:t>二、服务期限：</w:t>
            </w:r>
            <w:r>
              <w:rPr>
                <w:rFonts w:hint="default" w:ascii="仿宋" w:hAnsi="仿宋" w:eastAsia="仿宋" w:cs="仿宋"/>
                <w:sz w:val="24"/>
                <w:szCs w:val="24"/>
                <w:lang w:val="en-US" w:eastAsia="zh-CN"/>
              </w:rPr>
              <w:t>11月2日-11月3日</w:t>
            </w:r>
          </w:p>
          <w:p w14:paraId="3C2BBA0A">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b/>
                <w:bCs/>
                <w:sz w:val="24"/>
                <w:szCs w:val="24"/>
                <w:lang w:val="en-US" w:eastAsia="zh-CN"/>
              </w:rPr>
            </w:pPr>
            <w:r>
              <w:rPr>
                <w:rFonts w:hint="default" w:ascii="仿宋" w:hAnsi="仿宋" w:eastAsia="仿宋" w:cs="仿宋"/>
                <w:b/>
                <w:bCs/>
                <w:sz w:val="24"/>
                <w:szCs w:val="24"/>
                <w:lang w:val="en-US" w:eastAsia="zh-CN"/>
              </w:rPr>
              <w:t>三、酒店要求：</w:t>
            </w:r>
          </w:p>
          <w:p w14:paraId="20C573E1">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（一）酒店规格要求：</w:t>
            </w:r>
          </w:p>
          <w:p w14:paraId="4521AD2A">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准三星以上，具有80间（含）以上的标准大床房，配备大型会议室（会场可容纳200人）。</w:t>
            </w:r>
          </w:p>
          <w:p w14:paraId="57244BCA">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（二）酒店管理要求：</w:t>
            </w:r>
          </w:p>
          <w:p w14:paraId="12185039">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1.各项管理规章制度和以及措施健全；</w:t>
            </w:r>
          </w:p>
          <w:p w14:paraId="3A66538F">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2.具有宾馆饭店或专业会议场所运行的、有效的整套管理制度和作业标准，有检查、督导及处理措施。</w:t>
            </w:r>
          </w:p>
          <w:p w14:paraId="394E950A">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（三）酒店前厅要求：</w:t>
            </w:r>
          </w:p>
          <w:p w14:paraId="20DF64C0">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1.配有时钟、公用电话等，在非经营区设置客人休息场所，配备沙发或舒适的座椅；</w:t>
            </w:r>
          </w:p>
          <w:p w14:paraId="5E501A28">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2.设迎宾员，有接待服务；</w:t>
            </w:r>
          </w:p>
          <w:p w14:paraId="133B6E6D">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3.提供小件行李和贵重物品寄存服务。</w:t>
            </w:r>
          </w:p>
          <w:p w14:paraId="72F97174">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4.有供客人使用的行李车，提供行李服务。</w:t>
            </w:r>
          </w:p>
          <w:p w14:paraId="0D6D62C9">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（四）酒店客房要求：</w:t>
            </w:r>
          </w:p>
          <w:p w14:paraId="5FA35387">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1.有窗户，通风良好；配备软垫床、沙发或扶手椅、茶几、衣橱、写字台(或梳妆台)、床头柜、床头灯、台灯、窗帘等配套家具和装饰用品。有空调、彩电、闭路电视系统，可通过总机拨通国内长途电话。备有信封、信纸、笔、服务指南、住宿须知、价目表等；</w:t>
            </w:r>
          </w:p>
          <w:p w14:paraId="750F3417">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2.卫生间装有抽水马桶、带台面的面盆、梳妆镜、带淋浴喷头的浴缸(或独立的淋浴间)、浴帘，配备浴巾、面巾、小方巾、卫生用品等。有良好的照明和排风设施。采取有效的防滑措施。24小时供应冷、热水；</w:t>
            </w:r>
          </w:p>
          <w:p w14:paraId="35F654B7">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3.提供叫醒、送餐、洗衣等服务，24小时供应开水(饮用水)并供应茶叶；</w:t>
            </w:r>
          </w:p>
          <w:p w14:paraId="63167C71">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4.客房、卫生间每天全面整理一次，每天或应客人要求更换床单、被罩和枕套，随时补充客用品、消耗品。</w:t>
            </w:r>
          </w:p>
          <w:p w14:paraId="3BE5A379">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eastAsia" w:ascii="仿宋" w:hAnsi="仿宋" w:eastAsia="仿宋" w:cs="仿宋"/>
                <w:b/>
                <w:bCs/>
                <w:sz w:val="24"/>
                <w:szCs w:val="24"/>
                <w:lang w:val="en-US" w:eastAsia="zh-CN"/>
              </w:rPr>
              <w:t>四</w:t>
            </w:r>
            <w:r>
              <w:rPr>
                <w:rFonts w:hint="default" w:ascii="仿宋" w:hAnsi="仿宋" w:eastAsia="仿宋" w:cs="仿宋"/>
                <w:b/>
                <w:bCs/>
                <w:sz w:val="24"/>
                <w:szCs w:val="24"/>
                <w:lang w:val="en-US" w:eastAsia="zh-CN"/>
              </w:rPr>
              <w:t>、其他要求：</w:t>
            </w:r>
            <w:r>
              <w:rPr>
                <w:rFonts w:hint="default" w:ascii="仿宋" w:hAnsi="仿宋" w:eastAsia="仿宋" w:cs="仿宋"/>
                <w:sz w:val="24"/>
                <w:szCs w:val="24"/>
                <w:lang w:val="en-US" w:eastAsia="zh-CN"/>
              </w:rPr>
              <w:t>距离比赛场地（广东生态工程职业学院</w:t>
            </w:r>
            <w:r>
              <w:rPr>
                <w:rFonts w:hint="eastAsia" w:ascii="仿宋" w:hAnsi="仿宋" w:eastAsia="仿宋" w:cs="仿宋"/>
                <w:sz w:val="24"/>
                <w:szCs w:val="24"/>
                <w:lang w:val="en-US" w:eastAsia="zh-CN"/>
              </w:rPr>
              <w:t>：</w:t>
            </w:r>
            <w:r>
              <w:rPr>
                <w:rFonts w:hint="default" w:ascii="仿宋" w:hAnsi="仿宋" w:eastAsia="仿宋" w:cs="仿宋"/>
                <w:sz w:val="24"/>
                <w:szCs w:val="24"/>
                <w:lang w:val="en-US" w:eastAsia="zh-CN"/>
              </w:rPr>
              <w:t>广州市天河区广汕一路297号）8公里以内，位置便利，方便出行。</w:t>
            </w:r>
          </w:p>
        </w:tc>
      </w:tr>
    </w:tbl>
    <w:p w14:paraId="7B15ED2C">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付款结算：</w:t>
      </w:r>
    </w:p>
    <w:p w14:paraId="3BEE2CD0">
      <w:pPr>
        <w:numPr>
          <w:ilvl w:val="-1"/>
          <w:numId w:val="0"/>
        </w:numPr>
        <w:spacing w:line="360" w:lineRule="auto"/>
        <w:ind w:left="0" w:leftChars="0" w:firstLine="560" w:firstLineChars="200"/>
        <w:jc w:val="left"/>
        <w:rPr>
          <w:rFonts w:hint="eastAsia" w:ascii="宋体" w:hAnsi="宋体" w:cs="宋体"/>
          <w:b/>
          <w:bCs/>
          <w:sz w:val="28"/>
          <w:szCs w:val="28"/>
          <w:lang w:val="en-US" w:eastAsia="zh-CN"/>
        </w:rPr>
      </w:pPr>
      <w:r>
        <w:rPr>
          <w:rFonts w:hint="eastAsia" w:ascii="宋体" w:hAnsi="宋体" w:cs="宋体"/>
          <w:b w:val="0"/>
          <w:bCs w:val="0"/>
          <w:sz w:val="28"/>
          <w:szCs w:val="28"/>
          <w:lang w:val="en-US" w:eastAsia="zh-CN"/>
        </w:rPr>
        <w:t>项目服务完成后，经采购人和中标供应商双方确认服务验收合格后，中标人提交付款申请并提供相应金额的正式发票后，采购人在20个工作日内一次性支付合同金额的100%。</w:t>
      </w:r>
    </w:p>
    <w:p w14:paraId="0C16AF50">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评审规则</w:t>
      </w:r>
    </w:p>
    <w:p w14:paraId="2D8E15EE">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14:paraId="2E53DA11">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14:paraId="0F732886">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（三）最低评标（审）价法：在满足采购需求全部实质性要求的供应商中选择报价最低的供应商为成交（中标）供应商。</w:t>
      </w:r>
    </w:p>
    <w:p w14:paraId="2D52E63F">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报价文件内容</w:t>
      </w:r>
    </w:p>
    <w:p w14:paraId="1B062908">
      <w:pPr>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按要求提交加盖报价供应商公章的《报价一览表》（附件1）。</w:t>
      </w:r>
    </w:p>
    <w:p w14:paraId="13BA8083">
      <w:pPr>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按要求提交加盖报价供应商公章的《报价明细表》（附件2）。</w:t>
      </w:r>
    </w:p>
    <w:p w14:paraId="252D9B17">
      <w:pPr>
        <w:pStyle w:val="3"/>
        <w:pageBreakBefore w:val="0"/>
        <w:widowControl w:val="0"/>
        <w:numPr>
          <w:ilvl w:val="0"/>
          <w:numId w:val="4"/>
        </w:numPr>
        <w:kinsoku/>
        <w:wordWrap/>
        <w:overflowPunct/>
        <w:topLinePunct w:val="0"/>
        <w:autoSpaceDE/>
        <w:autoSpaceDN/>
        <w:bidi w:val="0"/>
        <w:adjustRightInd/>
        <w:snapToGrid/>
        <w:spacing w:before="0" w:after="0" w:line="360" w:lineRule="auto"/>
        <w:ind w:left="0" w:leftChars="0" w:firstLine="560" w:firstLineChars="200"/>
        <w:jc w:val="both"/>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w:t>
      </w:r>
      <w:r>
        <w:rPr>
          <w:rFonts w:hint="eastAsia" w:ascii="宋体" w:hAnsi="宋体" w:cs="宋体"/>
          <w:b w:val="0"/>
          <w:bCs/>
          <w:sz w:val="28"/>
          <w:szCs w:val="28"/>
        </w:rPr>
        <w:t>承诺书</w:t>
      </w:r>
      <w:r>
        <w:rPr>
          <w:rFonts w:hint="eastAsia" w:ascii="宋体" w:hAnsi="宋体" w:cs="宋体"/>
          <w:b w:val="0"/>
          <w:bCs w:val="0"/>
          <w:sz w:val="28"/>
          <w:szCs w:val="28"/>
          <w:lang w:val="en-US" w:eastAsia="zh-CN"/>
        </w:rPr>
        <w:t>》（附件3）。</w:t>
      </w:r>
    </w:p>
    <w:p w14:paraId="114F2E7C">
      <w:pPr>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提交企业法人《营业执照》副本或事业单位法人证书或法人登记证书复印件，并加盖报价供应商公章。</w:t>
      </w:r>
    </w:p>
    <w:p w14:paraId="3E5A19C8">
      <w:pPr>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供应商所递交的报价文件须密封完好，并且在封面填写项目名称；采购人拒收没有密封完好的报价文件。</w:t>
      </w:r>
    </w:p>
    <w:p w14:paraId="36136C3A">
      <w:pPr>
        <w:rPr>
          <w:rFonts w:hint="eastAsia" w:ascii="宋体" w:hAnsi="宋体" w:cs="宋体"/>
          <w:b/>
          <w:sz w:val="24"/>
          <w:szCs w:val="24"/>
        </w:rPr>
      </w:pPr>
      <w:r>
        <w:rPr>
          <w:rFonts w:hint="eastAsia" w:ascii="宋体" w:hAnsi="宋体" w:cs="宋体"/>
          <w:b/>
          <w:sz w:val="24"/>
          <w:szCs w:val="24"/>
        </w:rPr>
        <w:br w:type="page"/>
      </w:r>
    </w:p>
    <w:p w14:paraId="39B9AF37">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14:paraId="5467D756">
      <w:pPr>
        <w:tabs>
          <w:tab w:val="left" w:pos="8100"/>
        </w:tabs>
        <w:adjustRightInd w:val="0"/>
        <w:snapToGrid w:val="0"/>
        <w:spacing w:line="348" w:lineRule="auto"/>
        <w:rPr>
          <w:rFonts w:hint="eastAsia" w:ascii="宋体" w:hAnsi="宋体" w:cs="宋体"/>
          <w:b/>
          <w:sz w:val="24"/>
          <w:szCs w:val="24"/>
          <w:lang w:val="en-US" w:eastAsia="zh-CN"/>
        </w:rPr>
      </w:pPr>
    </w:p>
    <w:p w14:paraId="5531B40E">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49C0423B">
      <w:pPr>
        <w:pStyle w:val="3"/>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14:paraId="5E51A031">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0F5EC61D">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3A4655DF">
            <w:pPr>
              <w:autoSpaceDE w:val="0"/>
              <w:autoSpaceDN w:val="0"/>
              <w:adjustRightInd w:val="0"/>
              <w:spacing w:line="480" w:lineRule="exact"/>
              <w:jc w:val="center"/>
              <w:rPr>
                <w:rFonts w:ascii="宋体" w:hAnsi="宋体"/>
                <w:sz w:val="24"/>
              </w:rPr>
            </w:pPr>
            <w:r>
              <w:rPr>
                <w:rFonts w:hint="eastAsia" w:ascii="宋体" w:hAnsi="宋体"/>
                <w:sz w:val="24"/>
                <w:lang w:val="en-US" w:eastAsia="zh-CN"/>
              </w:rPr>
              <w:t>广东生态工程职业学院采购广东省第七届高校（高职）青年教师教学大赛决赛酒店服务项目</w:t>
            </w:r>
          </w:p>
        </w:tc>
      </w:tr>
      <w:tr w14:paraId="4EA962AE">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11B39BE4">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3D4B0E41">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1F484CD5">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79D9462A">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4EF1AB91">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14:paraId="343A48CB">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55D12DD5">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7DBF951B">
            <w:pPr>
              <w:autoSpaceDE w:val="0"/>
              <w:autoSpaceDN w:val="0"/>
              <w:adjustRightInd w:val="0"/>
              <w:spacing w:line="480" w:lineRule="exact"/>
              <w:jc w:val="center"/>
              <w:rPr>
                <w:rFonts w:ascii="宋体" w:hAnsi="宋体"/>
                <w:sz w:val="24"/>
              </w:rPr>
            </w:pPr>
          </w:p>
        </w:tc>
      </w:tr>
    </w:tbl>
    <w:p w14:paraId="4EC7E5C5">
      <w:pPr>
        <w:pStyle w:val="5"/>
        <w:spacing w:line="480" w:lineRule="exact"/>
        <w:ind w:firstLine="100" w:firstLineChars="50"/>
        <w:rPr>
          <w:rFonts w:hAnsi="宋体"/>
        </w:rPr>
      </w:pPr>
      <w:r>
        <w:rPr>
          <w:rFonts w:hint="eastAsia" w:hAnsi="宋体"/>
        </w:rPr>
        <w:t>注：</w:t>
      </w:r>
    </w:p>
    <w:p w14:paraId="46A69CAF">
      <w:pPr>
        <w:pStyle w:val="5"/>
        <w:numPr>
          <w:ilvl w:val="0"/>
          <w:numId w:val="5"/>
        </w:numPr>
        <w:spacing w:line="0" w:lineRule="atLeast"/>
        <w:rPr>
          <w:rFonts w:hAnsi="宋体"/>
        </w:rPr>
      </w:pPr>
      <w:r>
        <w:rPr>
          <w:rFonts w:hint="eastAsia" w:hAnsi="宋体"/>
        </w:rPr>
        <w:t>本表报价包含完成本项目应预见和不可预见的一切含税费用。</w:t>
      </w:r>
    </w:p>
    <w:p w14:paraId="7435303B">
      <w:pPr>
        <w:pStyle w:val="5"/>
        <w:numPr>
          <w:ilvl w:val="0"/>
          <w:numId w:val="5"/>
        </w:numPr>
        <w:spacing w:line="0" w:lineRule="atLeast"/>
        <w:rPr>
          <w:rFonts w:hAnsi="宋体"/>
        </w:rPr>
      </w:pPr>
      <w:r>
        <w:rPr>
          <w:rFonts w:hint="eastAsia"/>
        </w:rPr>
        <w:t>填写此表时不得改变表格的形式。</w:t>
      </w:r>
    </w:p>
    <w:p w14:paraId="06078988">
      <w:pPr>
        <w:pStyle w:val="5"/>
        <w:numPr>
          <w:ilvl w:val="0"/>
          <w:numId w:val="5"/>
        </w:numPr>
        <w:spacing w:line="0" w:lineRule="atLeast"/>
        <w:rPr>
          <w:rFonts w:hAnsi="宋体"/>
        </w:rPr>
      </w:pPr>
      <w:r>
        <w:rPr>
          <w:rFonts w:hint="eastAsia"/>
        </w:rPr>
        <w:t>以上表中内容必须计算机录入、填写、打印。手写按无效报价处理。</w:t>
      </w:r>
    </w:p>
    <w:p w14:paraId="027FE808">
      <w:pPr>
        <w:pStyle w:val="5"/>
        <w:numPr>
          <w:ilvl w:val="0"/>
          <w:numId w:val="5"/>
        </w:numPr>
        <w:spacing w:line="0" w:lineRule="atLeast"/>
        <w:rPr>
          <w:rFonts w:hint="eastAsia" w:hAnsi="Courier New"/>
        </w:rPr>
      </w:pPr>
      <w:r>
        <w:rPr>
          <w:rFonts w:hint="eastAsia"/>
          <w:lang w:val="en-US" w:eastAsia="zh-CN"/>
        </w:rPr>
        <w:t>必须满足</w:t>
      </w:r>
      <w:r>
        <w:rPr>
          <w:rFonts w:hint="eastAsia" w:ascii="宋体" w:hAnsi="Courier New" w:eastAsiaTheme="minorEastAsia" w:cstheme="minorBidi"/>
          <w:b w:val="0"/>
          <w:bCs w:val="0"/>
          <w:sz w:val="20"/>
          <w:szCs w:val="24"/>
        </w:rPr>
        <w:t>服务内容</w:t>
      </w:r>
      <w:r>
        <w:rPr>
          <w:rFonts w:hint="eastAsia" w:ascii="宋体" w:hAnsi="Courier New" w:eastAsiaTheme="minorEastAsia" w:cstheme="minorBidi"/>
          <w:b w:val="0"/>
          <w:bCs w:val="0"/>
          <w:sz w:val="20"/>
          <w:szCs w:val="24"/>
          <w:lang w:eastAsia="zh-CN"/>
        </w:rPr>
        <w:t>、</w:t>
      </w:r>
      <w:r>
        <w:rPr>
          <w:rFonts w:hint="eastAsia" w:ascii="宋体" w:hAnsi="Courier New" w:eastAsiaTheme="minorEastAsia" w:cstheme="minorBidi"/>
          <w:b w:val="0"/>
          <w:bCs w:val="0"/>
          <w:sz w:val="20"/>
          <w:szCs w:val="24"/>
        </w:rPr>
        <w:t>质保期</w:t>
      </w:r>
      <w:r>
        <w:rPr>
          <w:rFonts w:hint="eastAsia" w:ascii="宋体" w:hAnsi="Courier New" w:eastAsiaTheme="minorEastAsia" w:cstheme="minorBidi"/>
          <w:b w:val="0"/>
          <w:bCs w:val="0"/>
          <w:sz w:val="20"/>
          <w:szCs w:val="24"/>
          <w:lang w:val="en-US" w:eastAsia="zh-CN"/>
        </w:rPr>
        <w:t>等服务要求。</w:t>
      </w:r>
    </w:p>
    <w:p w14:paraId="6DE65193">
      <w:pPr>
        <w:pStyle w:val="5"/>
        <w:spacing w:line="0" w:lineRule="atLeast"/>
        <w:ind w:left="336"/>
        <w:rPr>
          <w:rFonts w:hAnsi="宋体"/>
          <w:color w:val="FF0000"/>
        </w:rPr>
      </w:pPr>
    </w:p>
    <w:p w14:paraId="1AC5FD1A"/>
    <w:p w14:paraId="1D4D5F9C"/>
    <w:p w14:paraId="4C1C28F0">
      <w:pPr>
        <w:spacing w:line="480" w:lineRule="exact"/>
        <w:ind w:left="4599" w:leftChars="2190" w:firstLine="240" w:firstLineChars="100"/>
        <w:rPr>
          <w:rFonts w:ascii="宋体" w:hAnsi="宋体" w:cs="宋体"/>
          <w:sz w:val="24"/>
          <w:szCs w:val="24"/>
        </w:rPr>
      </w:pPr>
    </w:p>
    <w:p w14:paraId="274AD93F">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14:paraId="296C32C2">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14:paraId="59C42499">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37CA7B2C">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14:paraId="688CAE0F">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14:paraId="63673BE0">
      <w:pPr>
        <w:spacing w:line="480" w:lineRule="exact"/>
        <w:ind w:firstLine="4560" w:firstLineChars="1900"/>
        <w:rPr>
          <w:rFonts w:ascii="宋体" w:hAnsi="宋体" w:cs="宋体"/>
          <w:sz w:val="24"/>
          <w:szCs w:val="24"/>
        </w:rPr>
      </w:pPr>
      <w:r>
        <w:rPr>
          <w:rFonts w:hint="eastAsia" w:ascii="宋体" w:hAnsi="宋体" w:cs="宋体"/>
          <w:sz w:val="24"/>
          <w:szCs w:val="24"/>
        </w:rPr>
        <w:t>日    期：</w:t>
      </w:r>
    </w:p>
    <w:p w14:paraId="34D08266">
      <w:pPr>
        <w:rPr>
          <w:rFonts w:ascii="宋体" w:hAnsi="宋体" w:cs="宋体"/>
          <w:sz w:val="24"/>
          <w:szCs w:val="24"/>
        </w:rPr>
      </w:pPr>
    </w:p>
    <w:p w14:paraId="38C8AA34">
      <w:pPr>
        <w:rPr>
          <w:rFonts w:ascii="宋体" w:hAnsi="宋体" w:cs="宋体"/>
          <w:sz w:val="24"/>
          <w:szCs w:val="24"/>
        </w:rPr>
      </w:pPr>
    </w:p>
    <w:p w14:paraId="12AA2CE0">
      <w:pPr>
        <w:pStyle w:val="8"/>
      </w:pPr>
    </w:p>
    <w:p w14:paraId="38E4DD9D">
      <w:pPr>
        <w:rPr>
          <w:rFonts w:hint="eastAsia"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14:paraId="0BB377D0">
      <w:pPr>
        <w:rPr>
          <w:rFonts w:hint="eastAsia" w:ascii="宋体" w:hAnsi="宋体" w:cs="宋体" w:eastAsiaTheme="minorEastAsia"/>
          <w:b/>
          <w:sz w:val="24"/>
          <w:lang w:eastAsia="zh-CN"/>
        </w:rPr>
      </w:pPr>
      <w:r>
        <w:rPr>
          <w:rFonts w:hint="eastAsia" w:ascii="宋体" w:hAnsi="宋体" w:cs="宋体"/>
          <w:b/>
          <w:sz w:val="24"/>
        </w:rPr>
        <w:br w:type="page"/>
      </w:r>
      <w:r>
        <w:rPr>
          <w:rFonts w:hint="eastAsia" w:ascii="宋体" w:hAnsi="宋体" w:cs="宋体"/>
          <w:b/>
          <w:sz w:val="24"/>
        </w:rPr>
        <w:t>附件</w:t>
      </w:r>
      <w:r>
        <w:rPr>
          <w:rFonts w:hint="eastAsia" w:ascii="宋体" w:hAnsi="宋体" w:cs="宋体"/>
          <w:b/>
          <w:sz w:val="24"/>
          <w:lang w:val="en-US" w:eastAsia="zh-CN"/>
        </w:rPr>
        <w:t>2</w:t>
      </w:r>
    </w:p>
    <w:p w14:paraId="4868C5C8">
      <w:pPr>
        <w:spacing w:line="560" w:lineRule="exact"/>
        <w:jc w:val="center"/>
        <w:rPr>
          <w:rFonts w:ascii="宋体" w:hAnsi="宋体"/>
          <w:b/>
          <w:sz w:val="28"/>
          <w:szCs w:val="28"/>
        </w:rPr>
      </w:pPr>
      <w:r>
        <w:rPr>
          <w:rFonts w:hint="eastAsia" w:ascii="宋体" w:hAnsi="宋体"/>
          <w:b/>
          <w:sz w:val="28"/>
          <w:szCs w:val="28"/>
        </w:rPr>
        <w:t xml:space="preserve">报价明细表    </w:t>
      </w:r>
    </w:p>
    <w:p w14:paraId="04B78B35">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1"/>
        <w:tblW w:w="5953" w:type="pct"/>
        <w:jc w:val="center"/>
        <w:tblLayout w:type="fixed"/>
        <w:tblCellMar>
          <w:top w:w="0" w:type="dxa"/>
          <w:left w:w="108" w:type="dxa"/>
          <w:bottom w:w="0" w:type="dxa"/>
          <w:right w:w="108" w:type="dxa"/>
        </w:tblCellMar>
      </w:tblPr>
      <w:tblGrid>
        <w:gridCol w:w="1399"/>
        <w:gridCol w:w="4634"/>
        <w:gridCol w:w="2034"/>
        <w:gridCol w:w="2080"/>
      </w:tblGrid>
      <w:tr w14:paraId="0323372F">
        <w:tblPrEx>
          <w:tblCellMar>
            <w:top w:w="0" w:type="dxa"/>
            <w:left w:w="108" w:type="dxa"/>
            <w:bottom w:w="0" w:type="dxa"/>
            <w:right w:w="108" w:type="dxa"/>
          </w:tblCellMar>
        </w:tblPrEx>
        <w:trPr>
          <w:trHeight w:val="295" w:hRule="atLeast"/>
          <w:jc w:val="center"/>
        </w:trPr>
        <w:tc>
          <w:tcPr>
            <w:tcW w:w="6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AB28F5">
            <w:pPr>
              <w:widowControl/>
              <w:jc w:val="center"/>
              <w:textAlignment w:val="center"/>
              <w:rPr>
                <w:rFonts w:hint="default" w:ascii="仿宋" w:hAnsi="仿宋" w:eastAsia="仿宋" w:cs="仿宋"/>
                <w:b/>
                <w:bCs/>
                <w:color w:val="000000"/>
                <w:sz w:val="24"/>
                <w:lang w:val="en-US"/>
              </w:rPr>
            </w:pPr>
            <w:r>
              <w:rPr>
                <w:rFonts w:hint="eastAsia" w:ascii="仿宋" w:hAnsi="仿宋" w:eastAsia="仿宋" w:cs="仿宋"/>
                <w:b/>
                <w:bCs/>
                <w:color w:val="000000"/>
                <w:kern w:val="0"/>
                <w:sz w:val="24"/>
                <w:szCs w:val="24"/>
                <w:lang w:val="en-US" w:eastAsia="zh-CN" w:bidi="ar"/>
              </w:rPr>
              <w:t>服务内容</w:t>
            </w:r>
          </w:p>
        </w:tc>
        <w:tc>
          <w:tcPr>
            <w:tcW w:w="3285"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E2CCF4">
            <w:pPr>
              <w:widowControl/>
              <w:jc w:val="center"/>
              <w:textAlignment w:val="center"/>
              <w:rPr>
                <w:rFonts w:hint="eastAsia" w:ascii="仿宋" w:hAnsi="仿宋" w:eastAsia="仿宋" w:cs="仿宋"/>
                <w:b/>
                <w:bCs/>
                <w:color w:val="000000"/>
                <w:sz w:val="24"/>
                <w:lang w:eastAsia="zh-CN"/>
              </w:rPr>
            </w:pPr>
            <w:r>
              <w:rPr>
                <w:rFonts w:hint="eastAsia" w:ascii="仿宋" w:hAnsi="仿宋" w:eastAsia="仿宋" w:cs="仿宋"/>
                <w:b/>
                <w:bCs/>
                <w:color w:val="000000"/>
                <w:kern w:val="0"/>
                <w:sz w:val="24"/>
                <w:szCs w:val="24"/>
                <w:lang w:bidi="ar"/>
              </w:rPr>
              <w:t>具体</w:t>
            </w:r>
            <w:r>
              <w:rPr>
                <w:rFonts w:hint="eastAsia" w:ascii="仿宋" w:hAnsi="仿宋" w:eastAsia="仿宋" w:cs="仿宋"/>
                <w:b/>
                <w:bCs/>
                <w:color w:val="000000"/>
                <w:kern w:val="0"/>
                <w:sz w:val="24"/>
                <w:szCs w:val="24"/>
                <w:lang w:val="en-US" w:eastAsia="zh-CN" w:bidi="ar"/>
              </w:rPr>
              <w:t>要求</w:t>
            </w:r>
          </w:p>
        </w:tc>
        <w:tc>
          <w:tcPr>
            <w:tcW w:w="102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84F021">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szCs w:val="24"/>
                <w:lang w:val="en-US" w:eastAsia="zh-CN" w:bidi="ar"/>
              </w:rPr>
              <w:t>报价</w:t>
            </w:r>
            <w:r>
              <w:rPr>
                <w:rFonts w:hint="eastAsia" w:ascii="仿宋" w:hAnsi="仿宋" w:eastAsia="仿宋" w:cs="仿宋"/>
                <w:b/>
                <w:bCs/>
                <w:color w:val="000000"/>
                <w:kern w:val="0"/>
                <w:sz w:val="24"/>
                <w:szCs w:val="24"/>
                <w:lang w:bidi="ar"/>
              </w:rPr>
              <w:t>（元）</w:t>
            </w:r>
          </w:p>
        </w:tc>
      </w:tr>
      <w:tr w14:paraId="5C515379">
        <w:tblPrEx>
          <w:tblCellMar>
            <w:top w:w="0" w:type="dxa"/>
            <w:left w:w="108" w:type="dxa"/>
            <w:bottom w:w="0" w:type="dxa"/>
            <w:right w:w="108" w:type="dxa"/>
          </w:tblCellMar>
        </w:tblPrEx>
        <w:trPr>
          <w:trHeight w:val="344" w:hRule="atLeast"/>
          <w:jc w:val="center"/>
        </w:trPr>
        <w:tc>
          <w:tcPr>
            <w:tcW w:w="6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0C570A">
            <w:pPr>
              <w:widowControl/>
              <w:jc w:val="center"/>
              <w:textAlignment w:val="center"/>
              <w:rPr>
                <w:rFonts w:hint="default" w:ascii="仿宋" w:hAnsi="仿宋" w:eastAsia="仿宋" w:cs="仿宋"/>
                <w:kern w:val="0"/>
                <w:sz w:val="18"/>
                <w:szCs w:val="18"/>
                <w:lang w:val="en-US" w:eastAsia="zh-CN" w:bidi="ar"/>
              </w:rPr>
            </w:pPr>
            <w:r>
              <w:rPr>
                <w:rFonts w:hint="eastAsia" w:ascii="仿宋" w:hAnsi="仿宋" w:eastAsia="仿宋" w:cs="仿宋"/>
                <w:kern w:val="0"/>
                <w:sz w:val="18"/>
                <w:szCs w:val="18"/>
                <w:lang w:val="en-US" w:eastAsia="zh-CN" w:bidi="ar"/>
              </w:rPr>
              <w:t>广东省第七届高校（高职）青年教师教学大赛决赛酒店服务</w:t>
            </w:r>
          </w:p>
        </w:tc>
        <w:tc>
          <w:tcPr>
            <w:tcW w:w="3285"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9FAE95">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18"/>
                <w:szCs w:val="18"/>
                <w:lang w:val="en-US" w:eastAsia="zh-CN"/>
              </w:rPr>
            </w:pPr>
            <w:r>
              <w:rPr>
                <w:rFonts w:hint="default" w:ascii="仿宋" w:hAnsi="仿宋" w:eastAsia="仿宋" w:cs="仿宋"/>
                <w:b/>
                <w:bCs/>
                <w:sz w:val="18"/>
                <w:szCs w:val="18"/>
                <w:lang w:val="en-US" w:eastAsia="zh-CN"/>
              </w:rPr>
              <w:t>一、服务内容：</w:t>
            </w:r>
            <w:r>
              <w:rPr>
                <w:rFonts w:hint="default" w:ascii="仿宋" w:hAnsi="仿宋" w:eastAsia="仿宋" w:cs="仿宋"/>
                <w:sz w:val="18"/>
                <w:szCs w:val="18"/>
                <w:lang w:val="en-US" w:eastAsia="zh-CN"/>
              </w:rPr>
              <w:t>入住接待、自助早晚餐、停车服务、住房服务。</w:t>
            </w:r>
          </w:p>
          <w:p w14:paraId="4C513E45">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18"/>
                <w:szCs w:val="18"/>
                <w:lang w:val="en-US" w:eastAsia="zh-CN"/>
              </w:rPr>
            </w:pPr>
            <w:r>
              <w:rPr>
                <w:rFonts w:hint="default" w:ascii="仿宋" w:hAnsi="仿宋" w:eastAsia="仿宋" w:cs="仿宋"/>
                <w:b/>
                <w:bCs/>
                <w:sz w:val="18"/>
                <w:szCs w:val="18"/>
                <w:lang w:val="en-US" w:eastAsia="zh-CN"/>
              </w:rPr>
              <w:t>二、服务期限：</w:t>
            </w:r>
            <w:r>
              <w:rPr>
                <w:rFonts w:hint="default" w:ascii="仿宋" w:hAnsi="仿宋" w:eastAsia="仿宋" w:cs="仿宋"/>
                <w:sz w:val="18"/>
                <w:szCs w:val="18"/>
                <w:lang w:val="en-US" w:eastAsia="zh-CN"/>
              </w:rPr>
              <w:t>11月2日-11月3日</w:t>
            </w:r>
          </w:p>
          <w:p w14:paraId="2E86ABC2">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b/>
                <w:bCs/>
                <w:sz w:val="18"/>
                <w:szCs w:val="18"/>
                <w:lang w:val="en-US" w:eastAsia="zh-CN"/>
              </w:rPr>
            </w:pPr>
            <w:r>
              <w:rPr>
                <w:rFonts w:hint="default" w:ascii="仿宋" w:hAnsi="仿宋" w:eastAsia="仿宋" w:cs="仿宋"/>
                <w:b/>
                <w:bCs/>
                <w:sz w:val="18"/>
                <w:szCs w:val="18"/>
                <w:lang w:val="en-US" w:eastAsia="zh-CN"/>
              </w:rPr>
              <w:t>三、酒店要求：</w:t>
            </w:r>
          </w:p>
          <w:p w14:paraId="545A0DD8">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18"/>
                <w:szCs w:val="18"/>
                <w:lang w:val="en-US" w:eastAsia="zh-CN"/>
              </w:rPr>
            </w:pPr>
            <w:r>
              <w:rPr>
                <w:rFonts w:hint="default" w:ascii="仿宋" w:hAnsi="仿宋" w:eastAsia="仿宋" w:cs="仿宋"/>
                <w:sz w:val="18"/>
                <w:szCs w:val="18"/>
                <w:lang w:val="en-US" w:eastAsia="zh-CN"/>
              </w:rPr>
              <w:t>（一）酒店规格要求：</w:t>
            </w:r>
          </w:p>
          <w:p w14:paraId="641B6258">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18"/>
                <w:szCs w:val="18"/>
                <w:lang w:val="en-US" w:eastAsia="zh-CN"/>
              </w:rPr>
            </w:pPr>
            <w:r>
              <w:rPr>
                <w:rFonts w:hint="default" w:ascii="仿宋" w:hAnsi="仿宋" w:eastAsia="仿宋" w:cs="仿宋"/>
                <w:sz w:val="18"/>
                <w:szCs w:val="18"/>
                <w:lang w:val="en-US" w:eastAsia="zh-CN"/>
              </w:rPr>
              <w:t>准三星以上，具有80间（含）以上的标准大床房，配备大型会议室（会场可容纳200人）。</w:t>
            </w:r>
          </w:p>
          <w:p w14:paraId="4405F5EE">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18"/>
                <w:szCs w:val="18"/>
                <w:lang w:val="en-US" w:eastAsia="zh-CN"/>
              </w:rPr>
            </w:pPr>
            <w:r>
              <w:rPr>
                <w:rFonts w:hint="default" w:ascii="仿宋" w:hAnsi="仿宋" w:eastAsia="仿宋" w:cs="仿宋"/>
                <w:sz w:val="18"/>
                <w:szCs w:val="18"/>
                <w:lang w:val="en-US" w:eastAsia="zh-CN"/>
              </w:rPr>
              <w:t>（二）酒店管理要求：</w:t>
            </w:r>
          </w:p>
          <w:p w14:paraId="10FE6D08">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18"/>
                <w:szCs w:val="18"/>
                <w:lang w:val="en-US" w:eastAsia="zh-CN"/>
              </w:rPr>
            </w:pPr>
            <w:r>
              <w:rPr>
                <w:rFonts w:hint="default" w:ascii="仿宋" w:hAnsi="仿宋" w:eastAsia="仿宋" w:cs="仿宋"/>
                <w:sz w:val="18"/>
                <w:szCs w:val="18"/>
                <w:lang w:val="en-US" w:eastAsia="zh-CN"/>
              </w:rPr>
              <w:t>1.各项管理规章制度和以及措施健全；</w:t>
            </w:r>
          </w:p>
          <w:p w14:paraId="33DDF271">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18"/>
                <w:szCs w:val="18"/>
                <w:lang w:val="en-US" w:eastAsia="zh-CN"/>
              </w:rPr>
            </w:pPr>
            <w:r>
              <w:rPr>
                <w:rFonts w:hint="default" w:ascii="仿宋" w:hAnsi="仿宋" w:eastAsia="仿宋" w:cs="仿宋"/>
                <w:sz w:val="18"/>
                <w:szCs w:val="18"/>
                <w:lang w:val="en-US" w:eastAsia="zh-CN"/>
              </w:rPr>
              <w:t>2.具有宾馆饭店或专业会议场所运行的、有效的整套管理制度和作业标准，有检查、督导及处理措施。</w:t>
            </w:r>
          </w:p>
          <w:p w14:paraId="32054625">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18"/>
                <w:szCs w:val="18"/>
                <w:lang w:val="en-US" w:eastAsia="zh-CN"/>
              </w:rPr>
            </w:pPr>
            <w:r>
              <w:rPr>
                <w:rFonts w:hint="default" w:ascii="仿宋" w:hAnsi="仿宋" w:eastAsia="仿宋" w:cs="仿宋"/>
                <w:sz w:val="18"/>
                <w:szCs w:val="18"/>
                <w:lang w:val="en-US" w:eastAsia="zh-CN"/>
              </w:rPr>
              <w:t>（三）酒店前厅要求：</w:t>
            </w:r>
          </w:p>
          <w:p w14:paraId="4E13A34E">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18"/>
                <w:szCs w:val="18"/>
                <w:lang w:val="en-US" w:eastAsia="zh-CN"/>
              </w:rPr>
            </w:pPr>
            <w:r>
              <w:rPr>
                <w:rFonts w:hint="default" w:ascii="仿宋" w:hAnsi="仿宋" w:eastAsia="仿宋" w:cs="仿宋"/>
                <w:sz w:val="18"/>
                <w:szCs w:val="18"/>
                <w:lang w:val="en-US" w:eastAsia="zh-CN"/>
              </w:rPr>
              <w:t>1.配有时钟、公用电话等，在非经营区设置客人休息场所，配备沙发或舒适的座椅；</w:t>
            </w:r>
          </w:p>
          <w:p w14:paraId="694318C3">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18"/>
                <w:szCs w:val="18"/>
                <w:lang w:val="en-US" w:eastAsia="zh-CN"/>
              </w:rPr>
            </w:pPr>
            <w:r>
              <w:rPr>
                <w:rFonts w:hint="default" w:ascii="仿宋" w:hAnsi="仿宋" w:eastAsia="仿宋" w:cs="仿宋"/>
                <w:sz w:val="18"/>
                <w:szCs w:val="18"/>
                <w:lang w:val="en-US" w:eastAsia="zh-CN"/>
              </w:rPr>
              <w:t>2.设迎宾员，有接待服务；</w:t>
            </w:r>
          </w:p>
          <w:p w14:paraId="6132F082">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18"/>
                <w:szCs w:val="18"/>
                <w:lang w:val="en-US" w:eastAsia="zh-CN"/>
              </w:rPr>
            </w:pPr>
            <w:r>
              <w:rPr>
                <w:rFonts w:hint="default" w:ascii="仿宋" w:hAnsi="仿宋" w:eastAsia="仿宋" w:cs="仿宋"/>
                <w:sz w:val="18"/>
                <w:szCs w:val="18"/>
                <w:lang w:val="en-US" w:eastAsia="zh-CN"/>
              </w:rPr>
              <w:t>3.提供小件行李和贵重物品寄存服务。</w:t>
            </w:r>
          </w:p>
          <w:p w14:paraId="70A7FC94">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18"/>
                <w:szCs w:val="18"/>
                <w:lang w:val="en-US" w:eastAsia="zh-CN"/>
              </w:rPr>
            </w:pPr>
            <w:r>
              <w:rPr>
                <w:rFonts w:hint="default" w:ascii="仿宋" w:hAnsi="仿宋" w:eastAsia="仿宋" w:cs="仿宋"/>
                <w:sz w:val="18"/>
                <w:szCs w:val="18"/>
                <w:lang w:val="en-US" w:eastAsia="zh-CN"/>
              </w:rPr>
              <w:t>4.有供客人使用的行李车，提供行李服务。</w:t>
            </w:r>
          </w:p>
          <w:p w14:paraId="759E4631">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18"/>
                <w:szCs w:val="18"/>
                <w:lang w:val="en-US" w:eastAsia="zh-CN"/>
              </w:rPr>
            </w:pPr>
            <w:r>
              <w:rPr>
                <w:rFonts w:hint="default" w:ascii="仿宋" w:hAnsi="仿宋" w:eastAsia="仿宋" w:cs="仿宋"/>
                <w:sz w:val="18"/>
                <w:szCs w:val="18"/>
                <w:lang w:val="en-US" w:eastAsia="zh-CN"/>
              </w:rPr>
              <w:t>（四）酒店客房要求：</w:t>
            </w:r>
          </w:p>
          <w:p w14:paraId="0E5A92CA">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18"/>
                <w:szCs w:val="18"/>
                <w:lang w:val="en-US" w:eastAsia="zh-CN"/>
              </w:rPr>
            </w:pPr>
            <w:r>
              <w:rPr>
                <w:rFonts w:hint="default" w:ascii="仿宋" w:hAnsi="仿宋" w:eastAsia="仿宋" w:cs="仿宋"/>
                <w:sz w:val="18"/>
                <w:szCs w:val="18"/>
                <w:lang w:val="en-US" w:eastAsia="zh-CN"/>
              </w:rPr>
              <w:t>1.有窗户，通风良好；配备软垫床、沙发或扶手椅、茶几、衣橱、写字台(或梳妆台)、床头柜、床头灯、台灯、窗帘等配套家具和装饰用品。有空调、彩电、闭路电视系统，可通过总机拨通国内长途电话。备有信封、信纸、笔、服务指南、住宿须知、价目表等；</w:t>
            </w:r>
          </w:p>
          <w:p w14:paraId="156CCC9D">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18"/>
                <w:szCs w:val="18"/>
                <w:lang w:val="en-US" w:eastAsia="zh-CN"/>
              </w:rPr>
            </w:pPr>
            <w:r>
              <w:rPr>
                <w:rFonts w:hint="default" w:ascii="仿宋" w:hAnsi="仿宋" w:eastAsia="仿宋" w:cs="仿宋"/>
                <w:sz w:val="18"/>
                <w:szCs w:val="18"/>
                <w:lang w:val="en-US" w:eastAsia="zh-CN"/>
              </w:rPr>
              <w:t>2.卫生间装有抽水马桶、带台面的面盆、梳妆镜、带淋浴喷头的浴缸(或独立的淋浴间)、浴帘，配备浴巾、面巾、小方巾、卫生用品等。有良好的照明和排风设施。采取有效的防滑措施。24小时供应冷、热水；</w:t>
            </w:r>
          </w:p>
          <w:p w14:paraId="01B69F5A">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18"/>
                <w:szCs w:val="18"/>
                <w:lang w:val="en-US" w:eastAsia="zh-CN"/>
              </w:rPr>
            </w:pPr>
            <w:r>
              <w:rPr>
                <w:rFonts w:hint="default" w:ascii="仿宋" w:hAnsi="仿宋" w:eastAsia="仿宋" w:cs="仿宋"/>
                <w:sz w:val="18"/>
                <w:szCs w:val="18"/>
                <w:lang w:val="en-US" w:eastAsia="zh-CN"/>
              </w:rPr>
              <w:t>3.提供叫醒、送餐、洗衣等服务，24小时供应开水(饮用水)并供应茶叶；</w:t>
            </w:r>
          </w:p>
          <w:p w14:paraId="33586940">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18"/>
                <w:szCs w:val="18"/>
                <w:lang w:val="en-US" w:eastAsia="zh-CN"/>
              </w:rPr>
            </w:pPr>
            <w:r>
              <w:rPr>
                <w:rFonts w:hint="default" w:ascii="仿宋" w:hAnsi="仿宋" w:eastAsia="仿宋" w:cs="仿宋"/>
                <w:sz w:val="18"/>
                <w:szCs w:val="18"/>
                <w:lang w:val="en-US" w:eastAsia="zh-CN"/>
              </w:rPr>
              <w:t>4.客房、卫生间每天全面整理一次，每天或应客人要求更换床单、被罩和枕套，随时补充客用品、消耗品。</w:t>
            </w:r>
          </w:p>
          <w:p w14:paraId="3A1737A3">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0" w:leftChars="0" w:firstLine="0" w:firstLineChars="0"/>
              <w:textAlignment w:val="auto"/>
              <w:rPr>
                <w:rFonts w:hint="default" w:eastAsia="仿宋"/>
                <w:sz w:val="18"/>
                <w:szCs w:val="18"/>
                <w:lang w:val="en-US" w:eastAsia="zh-CN"/>
              </w:rPr>
            </w:pPr>
            <w:r>
              <w:rPr>
                <w:rFonts w:hint="eastAsia" w:ascii="仿宋" w:hAnsi="仿宋" w:eastAsia="仿宋" w:cs="仿宋"/>
                <w:b/>
                <w:bCs/>
                <w:sz w:val="18"/>
                <w:szCs w:val="18"/>
                <w:lang w:val="en-US" w:eastAsia="zh-CN"/>
              </w:rPr>
              <w:t>四、其他要求：</w:t>
            </w:r>
            <w:r>
              <w:rPr>
                <w:rFonts w:hint="eastAsia" w:ascii="仿宋" w:hAnsi="仿宋" w:eastAsia="仿宋" w:cs="仿宋"/>
                <w:b w:val="0"/>
                <w:bCs w:val="0"/>
                <w:sz w:val="18"/>
                <w:szCs w:val="18"/>
                <w:lang w:val="en-US" w:eastAsia="zh-CN"/>
              </w:rPr>
              <w:t>距离比赛场地（广东生态工程职业学院：广州市天河区广汕一路297号）8公里以内，位置便利，方便出行。</w:t>
            </w:r>
          </w:p>
        </w:tc>
        <w:tc>
          <w:tcPr>
            <w:tcW w:w="102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654016">
            <w:pPr>
              <w:widowControl/>
              <w:jc w:val="center"/>
              <w:textAlignment w:val="center"/>
              <w:rPr>
                <w:rFonts w:ascii="仿宋" w:hAnsi="仿宋" w:eastAsia="仿宋" w:cs="仿宋"/>
                <w:sz w:val="24"/>
              </w:rPr>
            </w:pPr>
          </w:p>
        </w:tc>
      </w:tr>
      <w:tr w14:paraId="104B9186">
        <w:tblPrEx>
          <w:tblCellMar>
            <w:top w:w="0" w:type="dxa"/>
            <w:left w:w="108" w:type="dxa"/>
            <w:bottom w:w="0" w:type="dxa"/>
            <w:right w:w="108" w:type="dxa"/>
          </w:tblCellMar>
        </w:tblPrEx>
        <w:trPr>
          <w:trHeight w:val="638" w:hRule="atLeast"/>
          <w:jc w:val="center"/>
        </w:trPr>
        <w:tc>
          <w:tcPr>
            <w:tcW w:w="2972"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B300E6">
            <w:pPr>
              <w:widowControl/>
              <w:numPr>
                <w:ilvl w:val="0"/>
                <w:numId w:val="0"/>
              </w:numPr>
              <w:jc w:val="center"/>
              <w:textAlignment w:val="center"/>
              <w:rPr>
                <w:rFonts w:hint="default" w:ascii="仿宋" w:hAnsi="仿宋" w:eastAsia="仿宋" w:cs="仿宋"/>
                <w:kern w:val="0"/>
                <w:sz w:val="24"/>
                <w:lang w:val="en-US" w:eastAsia="zh-CN" w:bidi="ar"/>
              </w:rPr>
            </w:pPr>
            <w:r>
              <w:rPr>
                <w:rFonts w:hint="eastAsia" w:ascii="仿宋" w:hAnsi="仿宋" w:eastAsia="仿宋" w:cs="仿宋"/>
                <w:b/>
                <w:bCs/>
                <w:kern w:val="0"/>
                <w:sz w:val="24"/>
                <w:lang w:val="en-US" w:eastAsia="zh-CN" w:bidi="ar"/>
              </w:rPr>
              <w:t>合计（总报价）</w:t>
            </w:r>
          </w:p>
        </w:tc>
        <w:tc>
          <w:tcPr>
            <w:tcW w:w="2027"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AC2D5D">
            <w:pPr>
              <w:widowControl/>
              <w:jc w:val="center"/>
              <w:textAlignment w:val="center"/>
              <w:rPr>
                <w:rFonts w:ascii="仿宋" w:hAnsi="仿宋" w:eastAsia="仿宋" w:cs="仿宋"/>
                <w:sz w:val="24"/>
              </w:rPr>
            </w:pPr>
          </w:p>
        </w:tc>
      </w:tr>
    </w:tbl>
    <w:p w14:paraId="2EDBBAEE">
      <w:pPr>
        <w:snapToGrid w:val="0"/>
        <w:spacing w:line="460" w:lineRule="exact"/>
        <w:rPr>
          <w:rFonts w:hAnsi="宋体"/>
          <w:kern w:val="2"/>
          <w:szCs w:val="21"/>
        </w:rPr>
      </w:pPr>
      <w:r>
        <w:rPr>
          <w:rFonts w:hint="eastAsia" w:hAnsi="宋体"/>
          <w:szCs w:val="21"/>
        </w:rPr>
        <w:t>注：合计的“总报价”要与</w:t>
      </w:r>
      <w:r>
        <w:rPr>
          <w:rFonts w:hint="eastAsia" w:hAnsi="宋体"/>
          <w:szCs w:val="21"/>
          <w:lang w:val="en-US" w:eastAsia="zh-CN"/>
        </w:rPr>
        <w:t>附件</w:t>
      </w:r>
      <w:r>
        <w:rPr>
          <w:rFonts w:hint="eastAsia" w:ascii="宋体" w:hAnsi="宋体" w:eastAsia="宋体" w:cs="宋体"/>
          <w:szCs w:val="21"/>
          <w:lang w:val="en-US" w:eastAsia="zh-CN"/>
        </w:rPr>
        <w:t>1</w:t>
      </w:r>
      <w:r>
        <w:rPr>
          <w:rFonts w:hint="eastAsia" w:hAnsi="宋体"/>
          <w:szCs w:val="21"/>
        </w:rPr>
        <w:t>《报价一览表》中的“总报价”一致，否则视为自动放弃询价资格。</w:t>
      </w:r>
    </w:p>
    <w:p w14:paraId="1539419C">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7ACEC997">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4C4923E1">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bookmarkStart w:id="0" w:name="_GoBack"/>
      <w:bookmarkEnd w:id="0"/>
    </w:p>
    <w:p w14:paraId="0D54CA95">
      <w:pPr>
        <w:snapToGrid w:val="0"/>
        <w:spacing w:line="460" w:lineRule="exact"/>
        <w:rPr>
          <w:rFonts w:hAnsi="宋体"/>
          <w:szCs w:val="21"/>
        </w:rPr>
      </w:pPr>
    </w:p>
    <w:p w14:paraId="0C437C90">
      <w:pPr>
        <w:rPr>
          <w:rFonts w:hint="eastAsia" w:ascii="宋体" w:hAnsi="宋体" w:cs="宋体"/>
          <w:b/>
          <w:sz w:val="24"/>
        </w:rPr>
      </w:pPr>
      <w:r>
        <w:rPr>
          <w:rFonts w:hint="eastAsia"/>
          <w:b/>
          <w:sz w:val="24"/>
        </w:rPr>
        <w:t>（注：本报价表为必要文件，必须加盖报价供应商公章，否则作无效报价处理）</w:t>
      </w:r>
    </w:p>
    <w:p w14:paraId="152A7A00">
      <w:pPr>
        <w:rPr>
          <w:rFonts w:hint="eastAsia" w:ascii="宋体" w:hAnsi="宋体" w:cs="宋体"/>
          <w:b/>
          <w:sz w:val="24"/>
        </w:rPr>
      </w:pPr>
      <w:r>
        <w:rPr>
          <w:rFonts w:hint="eastAsia" w:ascii="宋体" w:hAnsi="宋体" w:cs="宋体"/>
          <w:b/>
          <w:sz w:val="24"/>
        </w:rPr>
        <w:br w:type="page"/>
      </w:r>
    </w:p>
    <w:p w14:paraId="5DD49245">
      <w:pPr>
        <w:tabs>
          <w:tab w:val="left" w:pos="8100"/>
        </w:tabs>
        <w:adjustRightInd w:val="0"/>
        <w:snapToGrid w:val="0"/>
        <w:spacing w:line="348" w:lineRule="auto"/>
        <w:rPr>
          <w:rFonts w:hint="eastAsia" w:ascii="宋体" w:hAnsi="宋体" w:cs="宋体" w:eastAsiaTheme="minorEastAsia"/>
          <w:b/>
          <w:sz w:val="24"/>
          <w:szCs w:val="24"/>
          <w:lang w:val="en-US" w:eastAsia="zh-CN"/>
        </w:rPr>
      </w:pPr>
      <w:r>
        <w:rPr>
          <w:rFonts w:hint="eastAsia" w:ascii="宋体" w:hAnsi="宋体" w:cs="宋体"/>
          <w:b/>
          <w:sz w:val="24"/>
        </w:rPr>
        <w:t>附件</w:t>
      </w:r>
      <w:r>
        <w:rPr>
          <w:rFonts w:hint="eastAsia" w:ascii="宋体" w:hAnsi="宋体" w:cs="宋体"/>
          <w:b/>
          <w:sz w:val="24"/>
          <w:lang w:val="en-US" w:eastAsia="zh-CN"/>
        </w:rPr>
        <w:t>3</w:t>
      </w:r>
    </w:p>
    <w:p w14:paraId="749E9A85">
      <w:pPr>
        <w:pStyle w:val="3"/>
        <w:spacing w:before="0" w:after="0" w:line="400" w:lineRule="exact"/>
        <w:rPr>
          <w:rFonts w:ascii="宋体" w:hAnsi="宋体" w:cs="宋体"/>
          <w:szCs w:val="28"/>
        </w:rPr>
      </w:pPr>
    </w:p>
    <w:p w14:paraId="001E8F18">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08E5DF42">
      <w:pPr>
        <w:pStyle w:val="17"/>
        <w:widowControl w:val="0"/>
        <w:spacing w:line="480" w:lineRule="auto"/>
        <w:ind w:firstLine="0" w:firstLineChars="0"/>
        <w:jc w:val="left"/>
        <w:textAlignment w:val="auto"/>
        <w:rPr>
          <w:rFonts w:ascii="仿宋" w:hAnsi="仿宋" w:eastAsia="仿宋" w:cs="仿宋"/>
          <w:sz w:val="24"/>
          <w:szCs w:val="24"/>
        </w:rPr>
      </w:pPr>
    </w:p>
    <w:p w14:paraId="21BC5ED2">
      <w:pPr>
        <w:pStyle w:val="17"/>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；且非联合体投标。如若我方不符合上述声明，则贵校有权随时无条件解除双方之间合同，一切责任均由我方承担</w:t>
      </w:r>
      <w:r>
        <w:rPr>
          <w:rFonts w:hint="eastAsia" w:ascii="宋体" w:hAnsi="宋体" w:cs="宋体"/>
          <w:sz w:val="24"/>
          <w:szCs w:val="24"/>
        </w:rPr>
        <w:t>。</w:t>
      </w:r>
    </w:p>
    <w:p w14:paraId="1ACC5A7C">
      <w:pPr>
        <w:pStyle w:val="17"/>
        <w:ind w:firstLine="480"/>
        <w:jc w:val="left"/>
        <w:rPr>
          <w:rFonts w:ascii="宋体" w:hAnsi="宋体" w:cs="宋体"/>
          <w:sz w:val="24"/>
          <w:szCs w:val="24"/>
        </w:rPr>
      </w:pPr>
    </w:p>
    <w:p w14:paraId="6CB5FF44">
      <w:pPr>
        <w:tabs>
          <w:tab w:val="left" w:pos="676"/>
          <w:tab w:val="left" w:pos="2330"/>
          <w:tab w:val="left" w:pos="9230"/>
        </w:tabs>
        <w:autoSpaceDE w:val="0"/>
        <w:autoSpaceDN w:val="0"/>
        <w:adjustRightInd w:val="0"/>
        <w:rPr>
          <w:rFonts w:ascii="宋体" w:hAnsi="宋体" w:cs="宋体"/>
          <w:sz w:val="24"/>
          <w:szCs w:val="24"/>
        </w:rPr>
      </w:pPr>
    </w:p>
    <w:p w14:paraId="103B95F1">
      <w:pPr>
        <w:tabs>
          <w:tab w:val="left" w:pos="676"/>
          <w:tab w:val="left" w:pos="2330"/>
          <w:tab w:val="left" w:pos="9230"/>
        </w:tabs>
        <w:autoSpaceDE w:val="0"/>
        <w:autoSpaceDN w:val="0"/>
        <w:adjustRightInd w:val="0"/>
        <w:rPr>
          <w:rFonts w:ascii="宋体" w:hAnsi="宋体" w:cs="宋体"/>
          <w:sz w:val="24"/>
          <w:szCs w:val="24"/>
        </w:rPr>
      </w:pPr>
    </w:p>
    <w:p w14:paraId="0B293D43">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14:paraId="07D8A8B1">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14:paraId="3C390C18">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4D48AE76">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14:paraId="34D2FA83">
      <w:pPr>
        <w:rPr>
          <w:rFonts w:cs="Tahoma"/>
          <w:b/>
          <w:sz w:val="24"/>
        </w:rPr>
      </w:pPr>
    </w:p>
    <w:p w14:paraId="288D29D2">
      <w:pPr>
        <w:rPr>
          <w:rFonts w:cs="Tahoma"/>
          <w:b/>
          <w:sz w:val="24"/>
        </w:rPr>
      </w:pPr>
    </w:p>
    <w:p w14:paraId="0F4947E6">
      <w:pPr>
        <w:rPr>
          <w:rFonts w:cs="Tahoma"/>
          <w:b/>
          <w:sz w:val="24"/>
        </w:rPr>
      </w:pPr>
    </w:p>
    <w:p w14:paraId="29076F64">
      <w:pPr>
        <w:rPr>
          <w:rFonts w:cs="Tahoma"/>
          <w:b/>
          <w:sz w:val="24"/>
        </w:rPr>
      </w:pPr>
    </w:p>
    <w:p w14:paraId="03830398">
      <w:pPr>
        <w:rPr>
          <w:rFonts w:cs="Tahoma"/>
          <w:b/>
          <w:sz w:val="24"/>
        </w:rPr>
      </w:pPr>
    </w:p>
    <w:p w14:paraId="4049DDD4">
      <w:pPr>
        <w:rPr>
          <w:rFonts w:cs="Tahoma"/>
          <w:b/>
          <w:sz w:val="24"/>
        </w:rPr>
      </w:pPr>
    </w:p>
    <w:p w14:paraId="188E87DD">
      <w:pPr>
        <w:rPr>
          <w:rFonts w:cs="Tahoma"/>
          <w:b/>
          <w:sz w:val="24"/>
        </w:rPr>
      </w:pPr>
    </w:p>
    <w:p w14:paraId="3ADDADCD">
      <w:pPr>
        <w:rPr>
          <w:rFonts w:cs="Tahoma"/>
          <w:b/>
          <w:sz w:val="24"/>
        </w:rPr>
      </w:pPr>
    </w:p>
    <w:p w14:paraId="791D7510">
      <w:pPr>
        <w:pStyle w:val="8"/>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4">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ZTQ3MTY3YzU3ZTNhN2EzZDZjNWJhMzY5ODBmYTAifQ=="/>
  </w:docVars>
  <w:rsids>
    <w:rsidRoot w:val="00000000"/>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0D8152E"/>
    <w:rsid w:val="120B2110"/>
    <w:rsid w:val="1269161B"/>
    <w:rsid w:val="131C20FB"/>
    <w:rsid w:val="14325D10"/>
    <w:rsid w:val="15ED073F"/>
    <w:rsid w:val="17A81ECF"/>
    <w:rsid w:val="17D47448"/>
    <w:rsid w:val="19F26CAA"/>
    <w:rsid w:val="1A444EEE"/>
    <w:rsid w:val="1BF95ED5"/>
    <w:rsid w:val="1D440623"/>
    <w:rsid w:val="1DB42CA3"/>
    <w:rsid w:val="1E311151"/>
    <w:rsid w:val="1F507DBE"/>
    <w:rsid w:val="212177E3"/>
    <w:rsid w:val="229D1137"/>
    <w:rsid w:val="24BB1A74"/>
    <w:rsid w:val="25203CCD"/>
    <w:rsid w:val="264A6E5E"/>
    <w:rsid w:val="27402C58"/>
    <w:rsid w:val="2A17416A"/>
    <w:rsid w:val="2C180514"/>
    <w:rsid w:val="2CD32928"/>
    <w:rsid w:val="2E1609D1"/>
    <w:rsid w:val="2EA65243"/>
    <w:rsid w:val="31993A3E"/>
    <w:rsid w:val="31C52C12"/>
    <w:rsid w:val="370945C1"/>
    <w:rsid w:val="375D5654"/>
    <w:rsid w:val="37753A04"/>
    <w:rsid w:val="39142D2B"/>
    <w:rsid w:val="3B3360B0"/>
    <w:rsid w:val="3D840E45"/>
    <w:rsid w:val="3E1F750B"/>
    <w:rsid w:val="3E893E94"/>
    <w:rsid w:val="3F516B05"/>
    <w:rsid w:val="3F9D2CB9"/>
    <w:rsid w:val="4221507E"/>
    <w:rsid w:val="43854442"/>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19F26A8"/>
    <w:rsid w:val="534327B1"/>
    <w:rsid w:val="536A2CA6"/>
    <w:rsid w:val="53A64BAC"/>
    <w:rsid w:val="56BD287A"/>
    <w:rsid w:val="5D2B6790"/>
    <w:rsid w:val="5D93012F"/>
    <w:rsid w:val="5F21609C"/>
    <w:rsid w:val="5FA34D03"/>
    <w:rsid w:val="613357C6"/>
    <w:rsid w:val="623A7DB9"/>
    <w:rsid w:val="632E2B36"/>
    <w:rsid w:val="63AB2175"/>
    <w:rsid w:val="63EA3E83"/>
    <w:rsid w:val="64153CF6"/>
    <w:rsid w:val="64C235B4"/>
    <w:rsid w:val="671B3414"/>
    <w:rsid w:val="69175343"/>
    <w:rsid w:val="6A532BBE"/>
    <w:rsid w:val="6AA5542C"/>
    <w:rsid w:val="6C72589E"/>
    <w:rsid w:val="6DA240C6"/>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autoRedefine/>
    <w:qFormat/>
    <w:uiPriority w:val="0"/>
    <w:pPr>
      <w:spacing w:line="460" w:lineRule="exact"/>
    </w:pPr>
    <w:rPr>
      <w:rFonts w:ascii="汉鼎简楷体" w:hAnsi="宋体" w:eastAsia="汉鼎简楷体"/>
      <w:b/>
      <w:bCs/>
      <w:spacing w:val="4"/>
      <w:sz w:val="24"/>
      <w:szCs w:val="20"/>
    </w:rPr>
  </w:style>
  <w:style w:type="paragraph" w:styleId="5">
    <w:name w:val="Plain Text"/>
    <w:basedOn w:val="1"/>
    <w:autoRedefine/>
    <w:qFormat/>
    <w:uiPriority w:val="0"/>
    <w:pPr>
      <w:widowControl w:val="0"/>
      <w:spacing w:line="240" w:lineRule="auto"/>
      <w:textAlignment w:val="auto"/>
    </w:pPr>
    <w:rPr>
      <w:rFonts w:ascii="宋体" w:hAnsi="Courier New"/>
      <w:color w:val="auto"/>
      <w:sz w:val="20"/>
      <w:szCs w:val="24"/>
    </w:rPr>
  </w:style>
  <w:style w:type="paragraph" w:styleId="6">
    <w:name w:val="footer"/>
    <w:basedOn w:val="1"/>
    <w:autoRedefine/>
    <w:qFormat/>
    <w:uiPriority w:val="99"/>
    <w:pPr>
      <w:tabs>
        <w:tab w:val="center" w:pos="4153"/>
        <w:tab w:val="right" w:pos="8306"/>
      </w:tabs>
      <w:snapToGrid w:val="0"/>
      <w:jc w:val="left"/>
    </w:pPr>
    <w:rPr>
      <w:sz w:val="18"/>
      <w:szCs w:val="18"/>
    </w:rPr>
  </w:style>
  <w:style w:type="paragraph" w:styleId="7">
    <w:name w:val="header"/>
    <w:basedOn w:val="1"/>
    <w:next w:val="6"/>
    <w:autoRedefine/>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autoRedefine/>
    <w:qFormat/>
    <w:uiPriority w:val="39"/>
  </w:style>
  <w:style w:type="paragraph" w:styleId="9">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10">
    <w:name w:val="Body Text First Indent"/>
    <w:basedOn w:val="4"/>
    <w:autoRedefine/>
    <w:qFormat/>
    <w:uiPriority w:val="0"/>
    <w:pPr>
      <w:spacing w:after="120"/>
      <w:ind w:firstLine="420" w:firstLineChars="100"/>
    </w:pPr>
    <w:rPr>
      <w:rFonts w:ascii="Calibri" w:hAnsi="Calibri"/>
      <w:sz w:val="21"/>
      <w:szCs w:val="22"/>
    </w:rPr>
  </w:style>
  <w:style w:type="table" w:styleId="12">
    <w:name w:val="Table Grid"/>
    <w:basedOn w:val="1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Default"/>
    <w:next w:val="7"/>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5">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szCs w:val="24"/>
    </w:rPr>
  </w:style>
  <w:style w:type="paragraph" w:styleId="16">
    <w:name w:val="List Paragraph"/>
    <w:basedOn w:val="1"/>
    <w:autoRedefine/>
    <w:unhideWhenUsed/>
    <w:qFormat/>
    <w:uiPriority w:val="34"/>
    <w:pPr>
      <w:ind w:firstLine="420" w:firstLineChars="200"/>
    </w:pPr>
  </w:style>
  <w:style w:type="paragraph" w:customStyle="1" w:styleId="17">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2860</Words>
  <Characters>2928</Characters>
  <Lines>0</Lines>
  <Paragraphs>0</Paragraphs>
  <TotalTime>9</TotalTime>
  <ScaleCrop>false</ScaleCrop>
  <LinksUpToDate>false</LinksUpToDate>
  <CharactersWithSpaces>3184</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凉粉枇杷</cp:lastModifiedBy>
  <dcterms:modified xsi:type="dcterms:W3CDTF">2024-10-28T03:01:05Z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73DF1C4129474E488C9DFA3E949F46AB_13</vt:lpwstr>
  </property>
</Properties>
</file>