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4D7B2">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广东生态工程职业学院海洋与渔业学院专业教学资源库平台一期建设采购项目</w:t>
      </w:r>
      <w:r>
        <w:rPr>
          <w:rFonts w:hint="eastAsia" w:asciiTheme="majorEastAsia" w:hAnsiTheme="majorEastAsia" w:eastAsiaTheme="majorEastAsia" w:cstheme="majorEastAsia"/>
          <w:b/>
          <w:sz w:val="36"/>
          <w:szCs w:val="36"/>
          <w:lang w:val="en-US" w:eastAsia="zh-CN"/>
        </w:rPr>
        <w:t>需求书</w:t>
      </w:r>
    </w:p>
    <w:p w14:paraId="29BBE3CD">
      <w:pPr>
        <w:spacing w:line="360" w:lineRule="auto"/>
        <w:jc w:val="left"/>
        <w:rPr>
          <w:rFonts w:hint="eastAsia" w:ascii="宋体" w:hAnsi="宋体" w:eastAsia="宋体" w:cs="宋体"/>
          <w:b w:val="0"/>
          <w:bCs w:val="0"/>
          <w:sz w:val="28"/>
          <w:szCs w:val="28"/>
        </w:rPr>
      </w:pPr>
    </w:p>
    <w:p w14:paraId="56D4151D">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广东生态工程职业学院海洋与渔业学院专业教学资源库平台一期建设采购项目</w:t>
      </w:r>
    </w:p>
    <w:p w14:paraId="45B54FD7">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96000.00元</w:t>
      </w:r>
    </w:p>
    <w:p w14:paraId="208EEF08">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广州市海珠区赤沙路15号</w:t>
      </w:r>
    </w:p>
    <w:p w14:paraId="2EDD023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7448782D">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BF95ADD">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38F1420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0D851A2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5E403D6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20AA795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42C1337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02C1DE81">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3F45D0EB">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05DB340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本项目不接受联合体、关联企业竞价。</w:t>
      </w:r>
    </w:p>
    <w:p w14:paraId="69E0B3B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10</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31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bookmarkStart w:id="0" w:name="_GoBack"/>
      <w:bookmarkEnd w:id="0"/>
    </w:p>
    <w:p w14:paraId="038BF276">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83598A">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0EB4AF01">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604A91D7">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5714" w:type="pct"/>
        <w:jc w:val="center"/>
        <w:tblLayout w:type="autofit"/>
        <w:tblCellMar>
          <w:top w:w="0" w:type="dxa"/>
          <w:left w:w="0" w:type="dxa"/>
          <w:bottom w:w="0" w:type="dxa"/>
          <w:right w:w="0" w:type="dxa"/>
        </w:tblCellMar>
      </w:tblPr>
      <w:tblGrid>
        <w:gridCol w:w="1451"/>
        <w:gridCol w:w="8053"/>
      </w:tblGrid>
      <w:tr w14:paraId="285786E3">
        <w:tblPrEx>
          <w:tblCellMar>
            <w:top w:w="0" w:type="dxa"/>
            <w:left w:w="0" w:type="dxa"/>
            <w:bottom w:w="0" w:type="dxa"/>
            <w:right w:w="0" w:type="dxa"/>
          </w:tblCellMar>
        </w:tblPrEx>
        <w:trPr>
          <w:trHeight w:val="621"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AB619">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BBD93">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12DCADDC">
        <w:tblPrEx>
          <w:tblCellMar>
            <w:top w:w="0" w:type="dxa"/>
            <w:left w:w="0" w:type="dxa"/>
            <w:bottom w:w="0" w:type="dxa"/>
            <w:right w:w="0" w:type="dxa"/>
          </w:tblCellMar>
        </w:tblPrEx>
        <w:trPr>
          <w:trHeight w:val="3373"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CD99D">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专业教学资源库平台一期建设</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4287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（一）总体要求</w:t>
            </w:r>
            <w:r>
              <w:rPr>
                <w:rFonts w:hint="default" w:ascii="仿宋" w:hAnsi="仿宋" w:eastAsia="仿宋" w:cs="仿宋"/>
                <w:b/>
                <w:bCs/>
                <w:sz w:val="24"/>
                <w:szCs w:val="24"/>
                <w:lang w:val="en-US" w:eastAsia="zh-CN"/>
              </w:rPr>
              <w:tab/>
            </w:r>
          </w:p>
          <w:p w14:paraId="55CA360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1、明确资源库建立流程，分工明确：</w:t>
            </w:r>
          </w:p>
          <w:p w14:paraId="387CAFF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实现数字化学习资源的标准、规范、技术、工具和方法。建立统一门户的专业资源管理系统，满足高校学生学习、专业教学以及企业员工技术培训与社会人员继续教育的需求。完善的门户框架和逻辑清晰的使用流程，促进资源整合过程中教师分工明确。</w:t>
            </w:r>
          </w:p>
          <w:p w14:paraId="1C0D057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2、教学资源库平台需要与学校网络教学平台进行整合，统一用户管理。</w:t>
            </w:r>
          </w:p>
          <w:p w14:paraId="26FF7F5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对于教师用户：实现资源建设与流程管理、资源的展示、资源在线浏览、资源的下载、资源的收藏、建课时资源使用、资源评分与评论，管理等等。</w:t>
            </w:r>
          </w:p>
          <w:p w14:paraId="322BEF9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对于学生用户：实现资源在线浏览、资源搜索、资源的下载、资源的收藏、资源评分与评论等等。</w:t>
            </w:r>
          </w:p>
          <w:p w14:paraId="2003C6D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对于非登录用户：实现资源搜索、浏览资源信息</w:t>
            </w:r>
          </w:p>
          <w:p w14:paraId="66E6BAB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3、教学资源库平台与学校网络教学平台无缝对接</w:t>
            </w:r>
          </w:p>
          <w:p w14:paraId="1B16EC4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资源由线下向线上进行转移，将教师手中或学院所有的资源最大化利用。课程建设者可将教学资源库直接引用到网络课程中，丰富课程资源；</w:t>
            </w:r>
          </w:p>
          <w:p w14:paraId="3C718FB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教学资源库中的资源，可推送至指定课程，用于网络课程教学使用；</w:t>
            </w:r>
          </w:p>
          <w:p w14:paraId="386FD73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网络课程中添加的资源，也可推送至资源库中进行共享，最终达到教学资源库和网络教学平台双向互通。</w:t>
            </w:r>
          </w:p>
          <w:p w14:paraId="7F8847E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4、与威海海洋职业学院水生动物医学专业教学资源库实现共建共享。</w:t>
            </w:r>
          </w:p>
          <w:p w14:paraId="35A8415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5、系统部署</w:t>
            </w:r>
          </w:p>
          <w:p w14:paraId="598E60D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需采用纯B/S结构，服务器端支持跨平台运行，可以支持UNIX/Linux等主流操作系统上，多数据库支持。</w:t>
            </w:r>
          </w:p>
          <w:p w14:paraId="1291EF1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6、性能要求</w:t>
            </w:r>
          </w:p>
          <w:p w14:paraId="2D63D7D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平台要向全部师生开放，因此系统在稳定性、安全性、可靠性方面要有严格的保障。</w:t>
            </w:r>
          </w:p>
          <w:p w14:paraId="29F845E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7、平台功能除资源（学校、专业、项目、课程资源）展示之外，更为重要的是辅助课程教学和职业素养养成，可以实现教师主导——学生主体的在线教育模式与学生多终端在线自主学习模式。</w:t>
            </w:r>
          </w:p>
          <w:p w14:paraId="1D0F291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8、在整体技术层面，平台能够体现先进规范、安全稳定、易于使用及良好的扩展性能，符合国际、国内标准；要求和教务系统、智慧校园等有效的集成、对接；能够满足学校各类项目的建设、申报和评审的要求；能对学校的各类多媒体教学资源进行整合管理；能够实现对学生网络自主学习的管理与质量监控。</w:t>
            </w:r>
          </w:p>
          <w:p w14:paraId="7EE9D2D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（二）平台技术要求</w:t>
            </w:r>
            <w:r>
              <w:rPr>
                <w:rFonts w:hint="default" w:ascii="仿宋" w:hAnsi="仿宋" w:eastAsia="仿宋" w:cs="仿宋"/>
                <w:b/>
                <w:bCs/>
                <w:sz w:val="24"/>
                <w:szCs w:val="24"/>
                <w:lang w:val="en-US" w:eastAsia="zh-CN"/>
              </w:rPr>
              <w:tab/>
            </w:r>
          </w:p>
          <w:p w14:paraId="2E7927C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在专业级资源和课程级资源中可以设定更多的结构，如在专业资源中拓展培训资源、行业资源等。每个专业可根据自己的特点进行灵活定制。最终达到教师能够自主管理资源，学生能够共享下载资源，并实现所有数据的整合，最终建设成一个理念领先、技术先进、国际化特色突出的资源管理平台。</w:t>
            </w:r>
          </w:p>
          <w:p w14:paraId="7DBBD49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2、系统设计满足大规模用户使用、支持分布式部署，应满足万人在线学习的性能要求。</w:t>
            </w:r>
          </w:p>
          <w:p w14:paraId="1C1BF5D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3、支持教学资源建设、网络课程建设、内容共享、学习过程跟踪和控制、在线测试和作业发布、交流互动、成绩评测和学习成果反馈等教学流程。</w:t>
            </w:r>
          </w:p>
          <w:p w14:paraId="001EED6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4、采用B/S结构，基于J2EE架构，页面采用Web2.0 AJAX开发，不需要另行安装插件就可以支持基于IE9及以上版本、safari、firefox、chrome等内核的浏览器。</w:t>
            </w:r>
          </w:p>
          <w:p w14:paraId="45F65FF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5、具有先进性、可移植性、开放性和兼容性，支持标准化多媒体课件。支持随用户使用量的增大而只需增加相应的硬件即可。</w:t>
            </w:r>
          </w:p>
          <w:p w14:paraId="0C9CDA6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支持Web服务器集群。具有安全策略和备份机制，可根据不同的业务要求采用不同的安全措施，保证发生故障时不影响整个系统的正常运行。提供各级数据备份机制能够定时备份数据库。具有相关策略对知识产权进行保护。</w:t>
            </w:r>
          </w:p>
          <w:p w14:paraId="6E47B0D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7、不限网络课程数量和注册用户数。</w:t>
            </w:r>
          </w:p>
          <w:p w14:paraId="0F77516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（三）平台详细功能</w:t>
            </w:r>
          </w:p>
          <w:p w14:paraId="75DCA4A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1、门户建设</w:t>
            </w:r>
          </w:p>
          <w:p w14:paraId="401EF58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（1）具备信息发布和页面自定义、访问统计分析、统一检索等功能。</w:t>
            </w:r>
          </w:p>
          <w:p w14:paraId="1BE985E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（2）具备精品资源的展示以及后台推荐控制功能。</w:t>
            </w:r>
          </w:p>
          <w:p w14:paraId="7414F8F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（3）具备多种资源排行展示，如精品课程排行、课程网站排行、课程资料排行等。</w:t>
            </w:r>
          </w:p>
          <w:p w14:paraId="2659275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（4）可以对本校资源进行搜索。</w:t>
            </w:r>
          </w:p>
          <w:p w14:paraId="028D183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（5）需要根据学校具体要求，定制、设计门户网站</w:t>
            </w:r>
          </w:p>
          <w:p w14:paraId="50BB2A9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（6）门户编辑支持可视化，可拖拽式的智慧门户搭建，减少门户制作的操作成本。</w:t>
            </w:r>
          </w:p>
          <w:p w14:paraId="2F30A06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（7）门户管理后台支持设置门户管理员及其他管理角色，支持按角色分配不同的管理权限。</w:t>
            </w:r>
          </w:p>
          <w:p w14:paraId="332C89A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2、站点管理</w:t>
            </w:r>
          </w:p>
          <w:p w14:paraId="6B372BE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超级管理员和资源库管理员可以新建资源库专业站点，设置或修改站点名称、负责人和封面图，可以删除或查询站点。在同一页面实现对站点的“增删改查”。专业负责人可以在资源库站点管理页面看到所负责的专业站点。</w:t>
            </w:r>
          </w:p>
          <w:p w14:paraId="2271E8A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创建多站点：每个专业教学资源库可拥有独立一个站点，每个站点即一个专业教学资源库，平台下系统管理员登录后台后，可创建多站点，并指定某一专业负责人（教师用户），作为该站点的负责人。专业教学资源库每个站点都是完整的一套网站，在后台管理中，系统管理员可对每个站点样式、导航等信息进行设置管理。</w:t>
            </w:r>
          </w:p>
          <w:p w14:paraId="25A1F42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（3）站点导航与栏目：每个站点一套独立导航和栏目管理。专业教学资源库导航栏支持包括导航在内的至少5级栏目建设。</w:t>
            </w:r>
          </w:p>
          <w:p w14:paraId="01B0B3F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在资源库管理中可以对教学专业资源库进行专业层次、专业目录、主持单位和参建单位的信息编辑，支持设置所属专业和服务专业，可以进行人才培养方案、专业建设标准、介绍视频和（仅支持m4v、mp4格式的视频）资源库介绍（支持附件上传）的上传和编辑。</w:t>
            </w:r>
          </w:p>
          <w:p w14:paraId="218F789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3、资源建设管理</w:t>
            </w:r>
          </w:p>
          <w:p w14:paraId="4CFCBB4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1、资源建设</w:t>
            </w:r>
          </w:p>
          <w:p w14:paraId="0ABC527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（1）任务型资源建设：由站点负责人指派栏目负责人，由栏目负责人指派建设任务到教师个人，建设资源库某一特定栏目。</w:t>
            </w:r>
          </w:p>
          <w:p w14:paraId="32DED08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（2）非任务型资源建设：由教师自由上传资源。</w:t>
            </w:r>
          </w:p>
          <w:p w14:paraId="63BA5C7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（3）专业负责人管理端上传：支持专业负责人从管理端直接上传资源。</w:t>
            </w:r>
          </w:p>
          <w:p w14:paraId="7F9AD85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（4）资源上传类型：</w:t>
            </w:r>
          </w:p>
          <w:p w14:paraId="3D91B05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资源建设须具备通用性，平台需支持多种类型和格式的资源上传，包括文本、图片、动画、视频、音频、PPT、电子表格等，能够根据文件扩展名自动分类存储。支持资源批量上传、下载、删除、修改；支持超大附件上传及断点续传等，并能够对上传的资源进行智能压缩和智能分发。</w:t>
            </w:r>
          </w:p>
          <w:p w14:paraId="51C8547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（5）题库建设：题库资源用于教学是每个学校的最基本需求，平台需支持题库类资源建设，能够实现多种题型的编辑及试题的批量导入，支持试题中的图片及公式编辑。</w:t>
            </w:r>
          </w:p>
          <w:p w14:paraId="0D3B09F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（6）支持资源重复上传校验、对重复上传的资源内容进行提醒、避免资源库中存在重复资源。</w:t>
            </w:r>
          </w:p>
          <w:p w14:paraId="3205593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2、分类管理</w:t>
            </w:r>
          </w:p>
          <w:p w14:paraId="18EF670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在分类管理功能中，支持对课程分类、素材分类、素材媒体分类进行管理。可实现对各分类的自定义设计，在上传素材和课程时可选择到对应的分类栏目，在门户中也可配置对应栏目的链接。实现前后台贯通，一体化设计，便于理解和操作。</w:t>
            </w:r>
          </w:p>
          <w:p w14:paraId="45E4714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（1）课程分类管理主要是针对结构化课程进行分类管理。新建分类后可以指定“栏目参建人”进行课程栏目的建设任务，支持添加和导入；支持分类的启用和禁用。</w:t>
            </w:r>
          </w:p>
          <w:p w14:paraId="1D5965E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（2）素材分类管理主要针对颗粒化的素材进行分类管理。新建分类后可以指定“栏目参建人”进行素材栏目的建设任务。支持添加和导入；支持分类的启用和禁用。</w:t>
            </w:r>
          </w:p>
          <w:p w14:paraId="1B71268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素材媒体分类管理可以配置当前专业的媒体可选素材类型，根据自己专业特点进行自由配置开启、禁用。禁用后则不在上传资源界面的素材类型中显示。</w:t>
            </w:r>
          </w:p>
          <w:p w14:paraId="6041354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（3）题库管理：可以根据不同分类创建相应的题库，支持题库多条件筛选；添加方式可以通过单独创建、智能导入、模板导入、课程导入；题库支持批量删除、批量审核、批量移动和导出。</w:t>
            </w:r>
          </w:p>
          <w:p w14:paraId="5F83C47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（4）试题管理:支持试题标签，可以通过课程库课程导入和考试系统同步，可以通过不同条件进行筛选，对题目进行删除和上架/下架操作。</w:t>
            </w:r>
          </w:p>
          <w:p w14:paraId="2726AAC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4、资源应用</w:t>
            </w:r>
          </w:p>
          <w:p w14:paraId="7435820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资源展示：独立页面，带信息、评分、评论等。进入单个资源详情中，可见到资源的展示界面，展示界面包括资源上传者、所属单位、关键词、资源内容简介、评分等介绍。支持多角度、多纬度的数据统计查询，对资源的下载次数及阅读次数进行统计。帮助用户准确判断资源的可用性。视频文件，上传可自动截第一帧画面作为缩略图。</w:t>
            </w:r>
          </w:p>
          <w:p w14:paraId="523A12D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通过构建资源库资源和知识点（技能点）之间的关联，实现专业（群）-专业-课程下的知识图谱构建，知识图谱上可以清晰的看见每个知识点（技能点）之间的前后置关系，以及关联关系。支持进行按照不同的标签和关键字进行检索，定位到对应的知识点（技能点），点击对应的知识点（技能点）即可跳转到知识卡片，显示所有关联的资源，点击对应资源即可进行浏览。同时对应资源详情页显示关联的每一个知识点（技能点）帮助用户在浏览资源时更好的对资源所属的知识点（技能点）认知，提高掌握度。</w:t>
            </w:r>
          </w:p>
          <w:p w14:paraId="0B30E9E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（3）资源下载：授权下载。被授权具有资源下载权限的用户可直接下载资源库中的资源。支持设置下载密码，对部分资源上传老师或管理员支持对资源设置下载密码，输入密码才能下载。</w:t>
            </w:r>
          </w:p>
          <w:p w14:paraId="639E5EF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资源在线浏览：授权浏览。被授权具有资源在线阅读权限的用户可在资源列表中，直接对感兴趣的资源进行在线阅读，增加资源的可利用性与价值。用户点击在线阅读，即可直接进入资源阅读页面，无需下载可优先查看资源详情。</w:t>
            </w:r>
          </w:p>
          <w:p w14:paraId="2E4FCE4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（5）资源检索：全局检索和一站式检索。 提供全局搜索功能，所有进入站点的用户可在子库基础下，按标题、关键字、上传者信息等标签搜索。该搜索范围为所在站点的资源数据库。登录用户可在自己所在个人中心中对资源进行一站式检索，用户进入高级检索界面，精确查找资源。</w:t>
            </w:r>
          </w:p>
          <w:p w14:paraId="50CA08D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（6）资源评分：平台登录用户可对资源进行星级评分和主观评价，为其他用户提供建设性意见。同时，学校管理者可针对资源的不同评分判断资源的价值，更加准确地管理资源。</w:t>
            </w:r>
          </w:p>
          <w:p w14:paraId="709857B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（7）资源评论：登录用户可对资源进行评价，提供自己的意见或建议，帮助其他用户判断资源价值的同时为学校提供可建设性资源管理意见。</w:t>
            </w:r>
          </w:p>
          <w:p w14:paraId="074A850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（8）资源收藏：登录用户可将自己在教学资源库中发现的比较好的资源收藏到个人空间中方便自己随用随取。用户可自主收藏优质资源，用户个性化个人空间的设置，充分发挥资源共享功能。</w:t>
            </w:r>
          </w:p>
          <w:p w14:paraId="159C4A1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（9）资源添加到课程：教师用户可将教学资源库中的资源添加至自己的网络课程的共享资料中，也可以将资源直接推送到课程某个章节中，用于课程教学使用。</w:t>
            </w:r>
          </w:p>
          <w:p w14:paraId="0BAFD91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课程建设者可通过系统推荐或者自行检索将教学资源库中的资源引用到网络课程章节中，并可以设置成为任务点，丰富课程资源；</w:t>
            </w:r>
          </w:p>
          <w:p w14:paraId="73A9CA3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网络教学平台中的课程资源，也可推送至教学资源库中进行共享，最终达到教学资源库和网络教学平台双向互通。</w:t>
            </w:r>
          </w:p>
          <w:p w14:paraId="5454846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（四）平台内置资源</w:t>
            </w:r>
          </w:p>
          <w:p w14:paraId="49476AD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平台提供给教师资源库建设、备课、制作课件、制作网络课程等工作中随时需要查阅、引用的海量资源。</w:t>
            </w:r>
          </w:p>
          <w:p w14:paraId="39D5B78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1、示范教学包</w:t>
            </w:r>
          </w:p>
          <w:p w14:paraId="2C81449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需整合本科、中高职、基础教育等各层次院校，各学科、专业的示范教学包资源，教师可以在教学资源库建设中随时引用示范教学包中的课程资源、课堂活动示例、题库等内容，同时可以根据教师自己课程的需要进行重新组合使用。</w:t>
            </w:r>
          </w:p>
          <w:p w14:paraId="22E2EBA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2、备课资源库</w:t>
            </w:r>
          </w:p>
          <w:p w14:paraId="285894F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备课资源库中需要具有电子图书和学术视频，教师可以直接添加备课资源库中的资源到教学资源库中。备课资源库也可以与网络教学平台无缝对接，教师在使用网络教学平台进行课程建设、备课、授课过程中随时可以搜索、引用、无缝插入备课资源库中的资源，全面辅助教师教学和学生学习。</w:t>
            </w:r>
          </w:p>
          <w:p w14:paraId="4FD9165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电子书和学术视频要求必须取得著作权人的授权，没有版权问题。</w:t>
            </w:r>
          </w:p>
          <w:p w14:paraId="1D7A79B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3、公共共享资源</w:t>
            </w:r>
          </w:p>
          <w:p w14:paraId="5F2A42F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教师可以在教学资源库建设中搜索添加平台中的公共共享资源，包括教学视频、PPT、动画等文件类型。</w:t>
            </w:r>
          </w:p>
        </w:tc>
      </w:tr>
    </w:tbl>
    <w:p w14:paraId="5D548C51">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213AC418">
      <w:pPr>
        <w:numPr>
          <w:ilvl w:val="-1"/>
          <w:numId w:val="0"/>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（1）合同协议生效后10个工作日内采购人向中标供应商支付合同额的70%。</w:t>
      </w:r>
    </w:p>
    <w:p w14:paraId="2324176F">
      <w:pPr>
        <w:numPr>
          <w:ilvl w:val="-1"/>
          <w:numId w:val="0"/>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（2）验收合格并提供相应金额的正式发票后支付剩余合同金额的30%。</w:t>
      </w:r>
    </w:p>
    <w:p w14:paraId="3017CA67">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（3）中标供应商须严格按照合同要求完成平台建设并交付使用。</w:t>
      </w:r>
    </w:p>
    <w:p w14:paraId="40956C8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260DCA55">
      <w:pPr>
        <w:pStyle w:val="1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供货要求</w:t>
      </w:r>
    </w:p>
    <w:p w14:paraId="24F34FF5">
      <w:pPr>
        <w:pStyle w:val="10"/>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报价人必须承诺所提供产品符合国家或行业标准，以及用户提出的有关应用需求，且不存在第三方侵权行为。</w:t>
      </w:r>
    </w:p>
    <w:p w14:paraId="28DC7121">
      <w:pPr>
        <w:pStyle w:val="10"/>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报价人提供的平台建设服务要切实承担课程服务和数据安全保障的主体责任。</w:t>
      </w:r>
    </w:p>
    <w:p w14:paraId="69A9903F">
      <w:pPr>
        <w:pStyle w:val="1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工期要求</w:t>
      </w:r>
    </w:p>
    <w:p w14:paraId="7A30B6A1">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合同签定后30个工作日内完成专业教学资源库平台建设并通过验收交付使用；售后服务期限自合同生效之日起1年内有效。</w:t>
      </w:r>
    </w:p>
    <w:p w14:paraId="386995D9">
      <w:pPr>
        <w:pStyle w:val="1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交货地点</w:t>
      </w:r>
    </w:p>
    <w:p w14:paraId="7C3C3570">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576" w:firstLineChars="200"/>
        <w:textAlignment w:val="auto"/>
        <w:rPr>
          <w:rFonts w:hint="default"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采购人指定地点</w:t>
      </w:r>
    </w:p>
    <w:p w14:paraId="61182832">
      <w:pPr>
        <w:pStyle w:val="1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验收要求</w:t>
      </w:r>
    </w:p>
    <w:p w14:paraId="6880F935">
      <w:pPr>
        <w:pStyle w:val="10"/>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平台安装完成后，按照采购文件中要求的所有指标进行测试。</w:t>
      </w:r>
    </w:p>
    <w:p w14:paraId="18C045B6">
      <w:pPr>
        <w:pStyle w:val="10"/>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平台功能测试：根据测试方案进行测试，提交测试报告，由双方签字确认。</w:t>
      </w:r>
    </w:p>
    <w:p w14:paraId="1D60D8FA">
      <w:pPr>
        <w:pStyle w:val="1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报价要求</w:t>
      </w:r>
    </w:p>
    <w:p w14:paraId="27856B84">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报价人报价中必须包括项目全部内容的费用，费用不管是否在报价人报价书中单列，均视为报价总价中已包括该费用。</w:t>
      </w:r>
    </w:p>
    <w:p w14:paraId="724E120A">
      <w:pPr>
        <w:pStyle w:val="10"/>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售后要求</w:t>
      </w:r>
    </w:p>
    <w:p w14:paraId="699E4AAE">
      <w:pPr>
        <w:pStyle w:val="10"/>
        <w:numPr>
          <w:ilvl w:val="0"/>
          <w:numId w:val="7"/>
        </w:numPr>
        <w:spacing w:after="0" w:line="360" w:lineRule="auto"/>
        <w:ind w:left="239" w:leftChars="114" w:firstLine="432" w:firstLineChars="150"/>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平台发生故障或需要维修或需要更换时，接到故障通知4个小时内给予解答。如电话支持无法解决，成交供应商则须在4小时内到达现场处理并协助给出排除故障的策略。遇到重大技术问题，成交供应商应采取相应措施确保系统在8小时内恢复运行。</w:t>
      </w:r>
    </w:p>
    <w:p w14:paraId="55186665">
      <w:pPr>
        <w:pStyle w:val="10"/>
        <w:numPr>
          <w:ilvl w:val="0"/>
          <w:numId w:val="7"/>
        </w:numPr>
        <w:spacing w:after="0" w:line="360" w:lineRule="auto"/>
        <w:ind w:left="239" w:leftChars="114" w:firstLine="432" w:firstLineChars="150"/>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服务期内，成交供应商须通过微信群或QQ群等方式保持常态化的及时咨询服务，具备提供本地化服务能力、需提供售后服务内容和售后服务流程及售后团队说明。</w:t>
      </w:r>
    </w:p>
    <w:p w14:paraId="317D39F9">
      <w:pPr>
        <w:pStyle w:val="10"/>
        <w:numPr>
          <w:ilvl w:val="0"/>
          <w:numId w:val="7"/>
        </w:numPr>
        <w:spacing w:after="0" w:line="360" w:lineRule="auto"/>
        <w:ind w:left="239" w:leftChars="114" w:firstLine="432" w:firstLineChars="150"/>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服务期满后，专业教学资源库平台可继续续费使用，如涉及订制开发，费用另行商定。</w:t>
      </w:r>
    </w:p>
    <w:p w14:paraId="56BD1E08">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5AC89FB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606E6590">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0F10BB7D">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1884448">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02E785BB">
      <w:pPr>
        <w:pageBreakBefore w:val="0"/>
        <w:widowControl w:val="0"/>
        <w:numPr>
          <w:ilvl w:val="0"/>
          <w:numId w:val="8"/>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A3314A6">
      <w:pPr>
        <w:pageBreakBefore w:val="0"/>
        <w:widowControl w:val="0"/>
        <w:numPr>
          <w:ilvl w:val="0"/>
          <w:numId w:val="8"/>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2ADECF1B">
      <w:pPr>
        <w:pStyle w:val="3"/>
        <w:pageBreakBefore w:val="0"/>
        <w:widowControl w:val="0"/>
        <w:numPr>
          <w:ilvl w:val="0"/>
          <w:numId w:val="8"/>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14:paraId="591A614C">
      <w:pPr>
        <w:pageBreakBefore w:val="0"/>
        <w:widowControl w:val="0"/>
        <w:numPr>
          <w:ilvl w:val="0"/>
          <w:numId w:val="8"/>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5FA26A2A">
      <w:pPr>
        <w:pageBreakBefore w:val="0"/>
        <w:widowControl w:val="0"/>
        <w:numPr>
          <w:ilvl w:val="0"/>
          <w:numId w:val="8"/>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027C3B57">
      <w:pPr>
        <w:rPr>
          <w:rFonts w:hint="eastAsia" w:ascii="宋体" w:hAnsi="宋体" w:cs="宋体"/>
          <w:b/>
          <w:sz w:val="24"/>
          <w:szCs w:val="24"/>
        </w:rPr>
      </w:pPr>
      <w:r>
        <w:rPr>
          <w:rFonts w:hint="eastAsia" w:ascii="宋体" w:hAnsi="宋体" w:cs="宋体"/>
          <w:b/>
          <w:sz w:val="24"/>
          <w:szCs w:val="24"/>
        </w:rPr>
        <w:br w:type="page"/>
      </w:r>
    </w:p>
    <w:p w14:paraId="54AAFD05">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1A3BB16D">
      <w:pPr>
        <w:tabs>
          <w:tab w:val="left" w:pos="8100"/>
        </w:tabs>
        <w:adjustRightInd w:val="0"/>
        <w:snapToGrid w:val="0"/>
        <w:spacing w:line="348" w:lineRule="auto"/>
        <w:rPr>
          <w:rFonts w:hint="eastAsia" w:ascii="宋体" w:hAnsi="宋体" w:cs="宋体"/>
          <w:b/>
          <w:sz w:val="24"/>
          <w:szCs w:val="24"/>
          <w:lang w:val="en-US" w:eastAsia="zh-CN"/>
        </w:rPr>
      </w:pPr>
    </w:p>
    <w:p w14:paraId="7E32D580">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16351695">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07661F1A">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0B4F43E9">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47FB115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广东生态工程职业学院海洋与渔业学院专业教学资源库平台一期建设采购项目</w:t>
            </w:r>
          </w:p>
        </w:tc>
      </w:tr>
      <w:tr w14:paraId="3D56F953">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42051F5">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7CB1800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2BA0CB4C">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2407E79F">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2952D46C">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00563D26">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35673381">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4F92A20E">
            <w:pPr>
              <w:autoSpaceDE w:val="0"/>
              <w:autoSpaceDN w:val="0"/>
              <w:adjustRightInd w:val="0"/>
              <w:spacing w:line="480" w:lineRule="exact"/>
              <w:jc w:val="center"/>
              <w:rPr>
                <w:rFonts w:ascii="宋体" w:hAnsi="宋体"/>
                <w:sz w:val="24"/>
              </w:rPr>
            </w:pPr>
          </w:p>
        </w:tc>
      </w:tr>
    </w:tbl>
    <w:p w14:paraId="4CB4A3E8">
      <w:pPr>
        <w:pStyle w:val="5"/>
        <w:spacing w:line="480" w:lineRule="exact"/>
        <w:ind w:firstLine="100" w:firstLineChars="50"/>
        <w:rPr>
          <w:rFonts w:hAnsi="宋体"/>
        </w:rPr>
      </w:pPr>
      <w:r>
        <w:rPr>
          <w:rFonts w:hint="eastAsia" w:hAnsi="宋体"/>
        </w:rPr>
        <w:t>注：</w:t>
      </w:r>
    </w:p>
    <w:p w14:paraId="0C9C27DA">
      <w:pPr>
        <w:pStyle w:val="5"/>
        <w:numPr>
          <w:ilvl w:val="0"/>
          <w:numId w:val="9"/>
        </w:numPr>
        <w:spacing w:line="0" w:lineRule="atLeast"/>
        <w:rPr>
          <w:rFonts w:hAnsi="宋体"/>
        </w:rPr>
      </w:pPr>
      <w:r>
        <w:rPr>
          <w:rFonts w:hint="eastAsia" w:hAnsi="宋体"/>
        </w:rPr>
        <w:t>本表报价包含完成本项目应预见和不可预见的一切含税费用。</w:t>
      </w:r>
    </w:p>
    <w:p w14:paraId="13BC9EC7">
      <w:pPr>
        <w:pStyle w:val="5"/>
        <w:numPr>
          <w:ilvl w:val="0"/>
          <w:numId w:val="9"/>
        </w:numPr>
        <w:spacing w:line="0" w:lineRule="atLeast"/>
        <w:rPr>
          <w:rFonts w:hAnsi="宋体"/>
        </w:rPr>
      </w:pPr>
      <w:r>
        <w:rPr>
          <w:rFonts w:hint="eastAsia"/>
        </w:rPr>
        <w:t>填写此表时不得改变表格的形式。</w:t>
      </w:r>
    </w:p>
    <w:p w14:paraId="3B3012D4">
      <w:pPr>
        <w:pStyle w:val="5"/>
        <w:numPr>
          <w:ilvl w:val="0"/>
          <w:numId w:val="9"/>
        </w:numPr>
        <w:spacing w:line="0" w:lineRule="atLeast"/>
        <w:rPr>
          <w:rFonts w:hAnsi="宋体"/>
        </w:rPr>
      </w:pPr>
      <w:r>
        <w:rPr>
          <w:rFonts w:hint="eastAsia"/>
        </w:rPr>
        <w:t>以上表中内容必须计算机录入、填写、打印。手写按无效报价处理。</w:t>
      </w:r>
    </w:p>
    <w:p w14:paraId="4E3C365D">
      <w:pPr>
        <w:pStyle w:val="5"/>
        <w:numPr>
          <w:ilvl w:val="0"/>
          <w:numId w:val="9"/>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0D6E0FA6">
      <w:pPr>
        <w:pStyle w:val="5"/>
        <w:spacing w:line="0" w:lineRule="atLeast"/>
        <w:ind w:left="336"/>
        <w:rPr>
          <w:rFonts w:hAnsi="宋体"/>
          <w:color w:val="FF0000"/>
        </w:rPr>
      </w:pPr>
    </w:p>
    <w:p w14:paraId="796E73F1"/>
    <w:p w14:paraId="00F2BD1E"/>
    <w:p w14:paraId="52562660">
      <w:pPr>
        <w:spacing w:line="480" w:lineRule="exact"/>
        <w:ind w:left="4599" w:leftChars="2190" w:firstLine="240" w:firstLineChars="100"/>
        <w:rPr>
          <w:rFonts w:ascii="宋体" w:hAnsi="宋体" w:cs="宋体"/>
          <w:sz w:val="24"/>
          <w:szCs w:val="24"/>
        </w:rPr>
      </w:pPr>
    </w:p>
    <w:p w14:paraId="44884CA4">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1C02BC1">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1F3B1A67">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36C63488">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71A60E9E">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6E3C10F1">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EE22D27">
      <w:pPr>
        <w:rPr>
          <w:rFonts w:ascii="宋体" w:hAnsi="宋体" w:cs="宋体"/>
          <w:sz w:val="24"/>
          <w:szCs w:val="24"/>
        </w:rPr>
      </w:pPr>
    </w:p>
    <w:p w14:paraId="720CDEFB">
      <w:pPr>
        <w:rPr>
          <w:rFonts w:ascii="宋体" w:hAnsi="宋体" w:cs="宋体"/>
          <w:sz w:val="24"/>
          <w:szCs w:val="24"/>
        </w:rPr>
      </w:pPr>
    </w:p>
    <w:p w14:paraId="07EAA97C">
      <w:pPr>
        <w:pStyle w:val="8"/>
      </w:pPr>
    </w:p>
    <w:p w14:paraId="497856B5">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34728AC0">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5F85A722">
      <w:pPr>
        <w:spacing w:line="560" w:lineRule="exact"/>
        <w:jc w:val="center"/>
        <w:rPr>
          <w:rFonts w:ascii="宋体" w:hAnsi="宋体"/>
          <w:b/>
          <w:sz w:val="28"/>
          <w:szCs w:val="28"/>
        </w:rPr>
      </w:pPr>
      <w:r>
        <w:rPr>
          <w:rFonts w:hint="eastAsia" w:ascii="宋体" w:hAnsi="宋体"/>
          <w:b/>
          <w:sz w:val="28"/>
          <w:szCs w:val="28"/>
        </w:rPr>
        <w:t xml:space="preserve">报价明细表    </w:t>
      </w:r>
    </w:p>
    <w:p w14:paraId="62AF36B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6208" w:type="pct"/>
        <w:jc w:val="center"/>
        <w:tblLayout w:type="fixed"/>
        <w:tblCellMar>
          <w:top w:w="0" w:type="dxa"/>
          <w:left w:w="108" w:type="dxa"/>
          <w:bottom w:w="0" w:type="dxa"/>
          <w:right w:w="108" w:type="dxa"/>
        </w:tblCellMar>
      </w:tblPr>
      <w:tblGrid>
        <w:gridCol w:w="1369"/>
        <w:gridCol w:w="4663"/>
        <w:gridCol w:w="2747"/>
        <w:gridCol w:w="1802"/>
      </w:tblGrid>
      <w:tr w14:paraId="75E0F707">
        <w:tblPrEx>
          <w:tblCellMar>
            <w:top w:w="0" w:type="dxa"/>
            <w:left w:w="108" w:type="dxa"/>
            <w:bottom w:w="0" w:type="dxa"/>
            <w:right w:w="108" w:type="dxa"/>
          </w:tblCellMar>
        </w:tblPrEx>
        <w:trPr>
          <w:trHeight w:val="557" w:hRule="atLeast"/>
          <w:jc w:val="center"/>
        </w:trPr>
        <w:tc>
          <w:tcPr>
            <w:tcW w:w="6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C3A0D">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350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CE9DD">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15CF5">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预算费用（元）</w:t>
            </w:r>
          </w:p>
        </w:tc>
      </w:tr>
      <w:tr w14:paraId="12E8D2F5">
        <w:trPr>
          <w:trHeight w:val="344" w:hRule="atLeast"/>
          <w:jc w:val="center"/>
        </w:trPr>
        <w:tc>
          <w:tcPr>
            <w:tcW w:w="6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E4A5A">
            <w:pPr>
              <w:widowControl/>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lang w:val="en-US" w:eastAsia="zh-CN" w:bidi="ar"/>
              </w:rPr>
              <w:t>专业教学资源库平台一期建设</w:t>
            </w:r>
          </w:p>
        </w:tc>
        <w:tc>
          <w:tcPr>
            <w:tcW w:w="350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671F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（一）总体要求</w:t>
            </w:r>
            <w:r>
              <w:rPr>
                <w:rFonts w:hint="default" w:ascii="仿宋" w:hAnsi="仿宋" w:eastAsia="仿宋" w:cs="仿宋"/>
                <w:b/>
                <w:bCs/>
                <w:sz w:val="24"/>
                <w:szCs w:val="24"/>
                <w:lang w:val="en-US" w:eastAsia="zh-CN"/>
              </w:rPr>
              <w:tab/>
            </w:r>
          </w:p>
          <w:p w14:paraId="6ACBE2F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1、明确资源库建立流程，分工明确：</w:t>
            </w:r>
          </w:p>
          <w:p w14:paraId="5A9B6E5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实现数字化学习资源的标准、规范、技术、工具和方法。建立统一门户的专业资源管理系统，满足高校学生学习、专业教学以及企业员工技术培训与社会人员继续教育的需求。完善的门户框架和逻辑清晰的使用流程，促进资源整合过程中教师分工明确。</w:t>
            </w:r>
          </w:p>
          <w:p w14:paraId="377DB76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2、教学资源库平台需要与学校网络教学平台进行整合，统一用户管理。</w:t>
            </w:r>
          </w:p>
          <w:p w14:paraId="720AFF2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对于教师用户：实现资源建设与流程管理、资源的展示、资源在线浏览、资源的下载、资源的收藏、建课时资源使用、资源评分与评论，管理等等。</w:t>
            </w:r>
          </w:p>
          <w:p w14:paraId="408D079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对于学生用户：实现资源在线浏览、资源搜索、资源的下载、资源的收藏、资源评分与评论等等。</w:t>
            </w:r>
          </w:p>
          <w:p w14:paraId="5223AFE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对于非登录用户：实现资源搜索、浏览资源信息</w:t>
            </w:r>
          </w:p>
          <w:p w14:paraId="59D5C25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3、教学资源库平台与学校网络教学平台无缝对接</w:t>
            </w:r>
          </w:p>
          <w:p w14:paraId="0CF9B04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资源由线下向线上进行转移，将教师手中或学院所有的资源最大化利用。课程建设者可将教学资源库直接引用到网络课程中，丰富课程资源；</w:t>
            </w:r>
          </w:p>
          <w:p w14:paraId="0974559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教学资源库中的资源，可推送至指定课程，用于网络课程教学使用；</w:t>
            </w:r>
          </w:p>
          <w:p w14:paraId="5D43641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网络课程中添加的资源，也可推送至资源库中进行共享，最终达到教学资源库和网络教学平台双向互通。</w:t>
            </w:r>
          </w:p>
          <w:p w14:paraId="54785AA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4、与威海海洋职业学院水生动物医学专业教学资源库实现共建共享。</w:t>
            </w:r>
          </w:p>
          <w:p w14:paraId="0B93361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5、系统部署</w:t>
            </w:r>
          </w:p>
          <w:p w14:paraId="196ECFA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需采用纯B/S结构，服务器端支持跨平台运行，可以支持UNIX/Linux等主流操作系统上，多数据库支持。</w:t>
            </w:r>
          </w:p>
          <w:p w14:paraId="0442DAA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6、性能要求</w:t>
            </w:r>
          </w:p>
          <w:p w14:paraId="027DD49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平台要向全部师生开放，因此系统在稳定性、安全性、可靠性方面要有严格的保障。</w:t>
            </w:r>
          </w:p>
          <w:p w14:paraId="140BFF2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7、平台功能除资源（学校、专业、项目、课程资源）展示之外，更为重要的是辅助课程教学和职业素养养成，可以实现教师主导——学生主体的在线教育模式与学生多终端在线自主学习模式。</w:t>
            </w:r>
          </w:p>
          <w:p w14:paraId="7EF9343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8、在整体技术层面，平台能够体现先进规范、安全稳定、易于使用及良好的扩展性能，符合国际、国内标准；要求和教务系统、智慧校园等有效的集成、对接；能够满足学校各类项目的建设、申报和评审的要求；能对学校的各类多媒体教学资源进行整合管理；能够实现对学生网络自主学习的管理与质量监控。</w:t>
            </w:r>
          </w:p>
          <w:p w14:paraId="135AE06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（二）平台技术要求</w:t>
            </w:r>
            <w:r>
              <w:rPr>
                <w:rFonts w:hint="default" w:ascii="仿宋" w:hAnsi="仿宋" w:eastAsia="仿宋" w:cs="仿宋"/>
                <w:b/>
                <w:bCs/>
                <w:sz w:val="24"/>
                <w:szCs w:val="24"/>
                <w:lang w:val="en-US" w:eastAsia="zh-CN"/>
              </w:rPr>
              <w:tab/>
            </w:r>
          </w:p>
          <w:p w14:paraId="3F7F1E7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在专业级资源和课程级资源中可以设定更多的结构，如在专业资源中拓展培训资源、行业资源等。每个专业可根据自己的特点进行灵活定制。最终达到教师能够自主管理资源，学生能够共享下载资源，并实现所有数据的整合，最终建设成一个理念领先、技术先进、国际化特色突出的资源管理平台。</w:t>
            </w:r>
          </w:p>
          <w:p w14:paraId="6FB45C8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2、系统设计满足大规模用户使用、支持分布式部署，应满足万人在线学习的性能要求。</w:t>
            </w:r>
          </w:p>
          <w:p w14:paraId="37400BF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3、支持教学资源建设、网络课程建设、内容共享、学习过程跟踪和控制、在线测试和作业发布、交流互动、成绩评测和学习成果反馈等教学流程。</w:t>
            </w:r>
          </w:p>
          <w:p w14:paraId="5E24906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4、采用B/S结构，基于J2EE架构，页面采用Web2.0 AJAX开发，不需要另行安装插件就可以支持基于IE9及以上版本、safari、firefox、chrome等内核的浏览器。</w:t>
            </w:r>
          </w:p>
          <w:p w14:paraId="7996A3A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5、具有先进性、可移植性、开放性和兼容性，支持标准化多媒体课件。支持随用户使用量的增大而只需增加相应的硬件即可。</w:t>
            </w:r>
          </w:p>
          <w:p w14:paraId="5F76BBF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支持Web服务器集群。具有安全策略和备份机制，可根据不同的业务要求采用不同的安全措施，保证发生故障时不影响整个系统的正常运行。提供各级数据备份机制能够定时备份数据库。具有相关策略对知识产权进行保护。</w:t>
            </w:r>
          </w:p>
          <w:p w14:paraId="59EE307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7、不限网络课程数量和注册用户数。</w:t>
            </w:r>
          </w:p>
          <w:p w14:paraId="7851293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（三）平台详细功能</w:t>
            </w:r>
          </w:p>
          <w:p w14:paraId="3259564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1、门户建设</w:t>
            </w:r>
          </w:p>
          <w:p w14:paraId="7E5833C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（1）具备信息发布和页面自定义、访问统计分析、统一检索等功能。</w:t>
            </w:r>
          </w:p>
          <w:p w14:paraId="489D5BF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（2）具备精品资源的展示以及后台推荐控制功能。</w:t>
            </w:r>
          </w:p>
          <w:p w14:paraId="596B6C7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（3）具备多种资源排行展示，如精品课程排行、课程网站排行、课程资料排行等。</w:t>
            </w:r>
          </w:p>
          <w:p w14:paraId="6E8C188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（4）可以对本校资源进行搜索。</w:t>
            </w:r>
          </w:p>
          <w:p w14:paraId="3880916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（5）需要根据学校具体要求，定制、设计门户网站</w:t>
            </w:r>
          </w:p>
          <w:p w14:paraId="6CFC1B1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（6）门户编辑支持可视化，可拖拽式的智慧门户搭建，减少门户制作的操作成本。</w:t>
            </w:r>
          </w:p>
          <w:p w14:paraId="14C3CFE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（7）门户管理后台支持设置门户管理员及其他管理角色，支持按角色分配不同的管理权限。</w:t>
            </w:r>
          </w:p>
          <w:p w14:paraId="69B6943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2、站点管理</w:t>
            </w:r>
          </w:p>
          <w:p w14:paraId="1D30AEA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超级管理员和资源库管理员可以新建资源库专业站点，设置或修改站点名称、负责人和封面图，可以删除或查询站点。在同一页面实现对站点的“增删改查”。专业负责人可以在资源库站点管理页面看到所负责的专业站点。</w:t>
            </w:r>
          </w:p>
          <w:p w14:paraId="70765EC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创建多站点：每个专业教学资源库可拥有独立一个站点，每个站点即一个专业教学资源库，平台下系统管理员登录后台后，可创建多站点，并指定某一专业负责人（教师用户），作为该站点的负责人。专业教学资源库每个站点都是完整的一套网站，在后台管理中，系统管理员可对每个站点样式、导航等信息进行设置管理。</w:t>
            </w:r>
          </w:p>
          <w:p w14:paraId="22BFB43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（3）站点导航与栏目：每个站点一套独立导航和栏目管理。专业教学资源库导航栏支持包括导航在内的至少5级栏目建设。</w:t>
            </w:r>
          </w:p>
          <w:p w14:paraId="607B794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在资源库管理中可以对教学专业资源库进行专业层次、专业目录、主持单位和参建单位的信息编辑，支持设置所属专业和服务专业，可以进行人才培养方案、专业建设标准、介绍视频和（仅支持m4v、mp4格式的视频）资源库介绍（支持附件上传）的上传和编辑。</w:t>
            </w:r>
          </w:p>
          <w:p w14:paraId="48B9FA3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3、资源建设管理</w:t>
            </w:r>
          </w:p>
          <w:p w14:paraId="6688F20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1、资源建设</w:t>
            </w:r>
          </w:p>
          <w:p w14:paraId="430027B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（1）任务型资源建设：由站点负责人指派栏目负责人，由栏目负责人指派建设任务到教师个人，建设资源库某一特定栏目。</w:t>
            </w:r>
          </w:p>
          <w:p w14:paraId="03A9064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（2）非任务型资源建设：由教师自由上传资源。</w:t>
            </w:r>
          </w:p>
          <w:p w14:paraId="16782A4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（3）专业负责人管理端上传：支持专业负责人从管理端直接上传资源。</w:t>
            </w:r>
          </w:p>
          <w:p w14:paraId="24BF885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（4）资源上传类型：</w:t>
            </w:r>
          </w:p>
          <w:p w14:paraId="1509061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资源建设须具备通用性，平台需支持多种类型和格式的资源上传，包括文本、图片、动画、视频、音频、PPT、电子表格等，能够根据文件扩展名自动分类存储。支持资源批量上传、下载、删除、修改；支持超大附件上传及断点续传等，并能够对上传的资源进行智能压缩和智能分发。</w:t>
            </w:r>
          </w:p>
          <w:p w14:paraId="03986DB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（5）题库建设：题库资源用于教学是每个学校的最基本需求，平台需支持题库类资源建设，能够实现多种题型的编辑及试题的批量导入，支持试题中的图片及公式编辑。</w:t>
            </w:r>
          </w:p>
          <w:p w14:paraId="174550B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（6）支持资源重复上传校验、对重复上传的资源内容进行提醒、避免资源库中存在重复资源。</w:t>
            </w:r>
          </w:p>
          <w:p w14:paraId="3E15308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2、分类管理</w:t>
            </w:r>
          </w:p>
          <w:p w14:paraId="076B6ED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在分类管理功能中，支持对课程分类、素材分类、素材媒体分类进行管理。可实现对各分类的自定义设计，在上传素材和课程时可选择到对应的分类栏目，在门户中也可配置对应栏目的链接。实现前后台贯通，一体化设计，便于理解和操作。</w:t>
            </w:r>
          </w:p>
          <w:p w14:paraId="59D90E3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（1）课程分类管理主要是针对结构化课程进行分类管理。新建分类后可以指定“栏目参建人”进行课程栏目的建设任务，支持添加和导入；支持分类的启用和禁用。</w:t>
            </w:r>
          </w:p>
          <w:p w14:paraId="4363D63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（2）素材分类管理主要针对颗粒化的素材进行分类管理。新建分类后可以指定“栏目参建人”进行素材栏目的建设任务。支持添加和导入；支持分类的启用和禁用。</w:t>
            </w:r>
          </w:p>
          <w:p w14:paraId="2700C9A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素材媒体分类管理可以配置当前专业的媒体可选素材类型，根据自己专业特点进行自由配置开启、禁用。禁用后则不在上传资源界面的素材类型中显示。</w:t>
            </w:r>
          </w:p>
          <w:p w14:paraId="5388099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（3）题库管理：可以根据不同分类创建相应的题库，支持题库多条件筛选；添加方式可以通过单独创建、智能导入、模板导入、课程导入；题库支持批量删除、批量审核、批量移动和导出。</w:t>
            </w:r>
          </w:p>
          <w:p w14:paraId="7D658EC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（4）试题管理:支持试题标签，可以通过课程库课程导入和考试系统同步，可以通过不同条件进行筛选，对题目进行删除和上架/下架操作。</w:t>
            </w:r>
          </w:p>
          <w:p w14:paraId="47E5C3E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4、资源应用</w:t>
            </w:r>
          </w:p>
          <w:p w14:paraId="1B1BEF6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资源展示：独立页面，带信息、评分、评论等。进入单个资源详情中，可见到资源的展示界面，展示界面包括资源上传者、所属单位、关键词、资源内容简介、评分等介绍。支持多角度、多纬度的数据统计查询，对资源的下载次数及阅读次数进行统计。帮助用户准确判断资源的可用性。视频文件，上传可自动截第一帧画面作为缩略图。</w:t>
            </w:r>
          </w:p>
          <w:p w14:paraId="477157B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通过构建资源库资源和知识点（技能点）之间的关联，实现专业（群）-专业-课程下的知识图谱构建，知识图谱上可以清晰的看见每个知识点（技能点）之间的前后置关系，以及关联关系。支持进行按照不同的标签和关键字进行检索，定位到对应的知识点（技能点），点击对应的知识点（技能点）即可跳转到知识卡片，显示所有关联的资源，点击对应资源即可进行浏览。同时对应资源详情页显示关联的每一个知识点（技能点）帮助用户在浏览资源时更好的对资源所属的知识点（技能点）认知，提高掌握度。</w:t>
            </w:r>
          </w:p>
          <w:p w14:paraId="0D1222B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（3）资源下载：授权下载。被授权具有资源下载权限的用户可直接下载资源库中的资源。支持设置下载密码，对部分资源上传老师或管理员支持对资源设置下载密码，输入密码才能下载。</w:t>
            </w:r>
          </w:p>
          <w:p w14:paraId="6851A40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资源在线浏览：授权浏览。被授权具有资源在线阅读权限的用户可在资源列表中，直接对感兴趣的资源进行在线阅读，增加资源的可利用性与价值。用户点击在线阅读，即可直接进入资源阅读页面，无需下载可优先查看资源详情。</w:t>
            </w:r>
          </w:p>
          <w:p w14:paraId="3DAC174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（5）资源检索：全局检索和一站式检索。 提供全局搜索功能，所有进入站点的用户可在子库基础下，按标题、关键字、上传者信息等标签搜索。该搜索范围为所在站点的资源数据库。登录用户可在自己所在个人中心中对资源进行一站式检索，用户进入高级检索界面，精确查找资源。</w:t>
            </w:r>
          </w:p>
          <w:p w14:paraId="3FDF43A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（6）资源评分：平台登录用户可对资源进行星级评分和主观评价，为其他用户提供建设性意见。同时，学校管理者可针对资源的不同评分判断资源的价值，更加准确地管理资源。</w:t>
            </w:r>
          </w:p>
          <w:p w14:paraId="3C1E8E5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（7）资源评论：登录用户可对资源进行评价，提供自己的意见或建议，帮助其他用户判断资源价值的同时为学校提供可建设性资源管理意见。</w:t>
            </w:r>
          </w:p>
          <w:p w14:paraId="222ECB8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（8）资源收藏：登录用户可将自己在教学资源库中发现的比较好的资源收藏到个人空间中方便自己随用随取。用户可自主收藏优质资源，用户个性化个人空间的设置，充分发挥资源共享功能。</w:t>
            </w:r>
          </w:p>
          <w:p w14:paraId="136D45B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（9）资源添加到课程：教师用户可将教学资源库中的资源添加至自己的网络课程的共享资料中，也可以将资源直接推送到课程某个章节中，用于课程教学使用。</w:t>
            </w:r>
          </w:p>
          <w:p w14:paraId="752B4FC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课程建设者可通过系统推荐或者自行检索将教学资源库中的资源引用到网络课程章节中，并可以设置成为任务点，丰富课程资源；</w:t>
            </w:r>
          </w:p>
          <w:p w14:paraId="6B4D825C">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网络教学平台中的课程资源，也可推送至教学资源库中进行共享，最终达到教学资源库和网络教学平台双向互通。</w:t>
            </w:r>
          </w:p>
          <w:p w14:paraId="6313687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（四）平台内置资源</w:t>
            </w:r>
          </w:p>
          <w:p w14:paraId="208193A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平台提供给教师资源库建设、备课、制作课件、制作网络课程等工作中随时需要查阅、引用的海量资源。</w:t>
            </w:r>
          </w:p>
          <w:p w14:paraId="71D5149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1、示范教学包</w:t>
            </w:r>
          </w:p>
          <w:p w14:paraId="6B2968B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需整合本科、中高职、基础教育等各层次院校，各学科、专业的示范教学包资源，教师可以在教学资源库建设中随时引用示范教学包中的课程资源、课堂活动示例、题库等内容，同时可以根据教师自己课程的需要进行重新组合使用。</w:t>
            </w:r>
          </w:p>
          <w:p w14:paraId="124F4F2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2、备课资源库</w:t>
            </w:r>
          </w:p>
          <w:p w14:paraId="77D7E4D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备课资源库中需要具有电子图书和学术视频，教师可以直接添加备课资源库中的资源到教学资源库中。备课资源库也可以与网络教学平台无缝对接，教师在使用网络教学平台进行课程建设、备课、授课过程中随时可以搜索、引用、无缝插入备课资源库中的资源，全面辅助教师教学和学生学习。</w:t>
            </w:r>
          </w:p>
          <w:p w14:paraId="63D816E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电子书和学术视频要求必须取得著作权人的授权，没有版权问题。</w:t>
            </w:r>
          </w:p>
          <w:p w14:paraId="4DD5DE1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3、公共共享资源</w:t>
            </w:r>
          </w:p>
          <w:p w14:paraId="5438ED9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0" w:leftChars="0" w:firstLine="0" w:firstLineChars="0"/>
              <w:textAlignment w:val="auto"/>
              <w:rPr>
                <w:rFonts w:hint="default" w:ascii="仿宋" w:hAnsi="仿宋" w:eastAsia="仿宋" w:cs="仿宋"/>
                <w:kern w:val="2"/>
                <w:sz w:val="24"/>
                <w:szCs w:val="24"/>
                <w:lang w:val="en-US" w:eastAsia="zh-CN" w:bidi="ar-SA"/>
              </w:rPr>
            </w:pPr>
            <w:r>
              <w:rPr>
                <w:rFonts w:hint="default" w:ascii="仿宋" w:hAnsi="仿宋" w:eastAsia="仿宋" w:cs="仿宋"/>
                <w:sz w:val="24"/>
                <w:szCs w:val="24"/>
                <w:lang w:val="en-US" w:eastAsia="zh-CN"/>
              </w:rPr>
              <w:t>教师可以在教学资源库建设中搜索添加平台中的公共共享资源，包括教学视频、PPT、动画等文件类型。</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14639">
            <w:pPr>
              <w:widowControl/>
              <w:jc w:val="center"/>
              <w:textAlignment w:val="center"/>
              <w:rPr>
                <w:rFonts w:ascii="仿宋" w:hAnsi="仿宋" w:eastAsia="仿宋" w:cs="仿宋"/>
                <w:sz w:val="24"/>
              </w:rPr>
            </w:pPr>
          </w:p>
        </w:tc>
      </w:tr>
      <w:tr w14:paraId="30A640E1">
        <w:tblPrEx>
          <w:tblCellMar>
            <w:top w:w="0" w:type="dxa"/>
            <w:left w:w="108" w:type="dxa"/>
            <w:bottom w:w="0" w:type="dxa"/>
            <w:right w:w="108" w:type="dxa"/>
          </w:tblCellMar>
        </w:tblPrEx>
        <w:trPr>
          <w:trHeight w:val="638" w:hRule="atLeast"/>
          <w:jc w:val="center"/>
        </w:trPr>
        <w:tc>
          <w:tcPr>
            <w:tcW w:w="285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10C97">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合计（元）</w:t>
            </w:r>
          </w:p>
        </w:tc>
        <w:tc>
          <w:tcPr>
            <w:tcW w:w="2149"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ADFA4">
            <w:pPr>
              <w:widowControl/>
              <w:jc w:val="center"/>
              <w:textAlignment w:val="center"/>
              <w:rPr>
                <w:rFonts w:ascii="仿宋" w:hAnsi="仿宋" w:eastAsia="仿宋" w:cs="仿宋"/>
                <w:sz w:val="24"/>
              </w:rPr>
            </w:pPr>
          </w:p>
        </w:tc>
      </w:tr>
    </w:tbl>
    <w:p w14:paraId="3775A4E2">
      <w:pPr>
        <w:snapToGrid w:val="0"/>
        <w:spacing w:line="460" w:lineRule="exac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合计</w:t>
      </w:r>
      <w:r>
        <w:rPr>
          <w:rFonts w:hint="eastAsia" w:hAnsi="宋体"/>
          <w:szCs w:val="21"/>
          <w:lang w:eastAsia="zh-CN"/>
        </w:rPr>
        <w:t>”</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7B28D109">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7912A69">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514A9E0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754E34B2">
      <w:pPr>
        <w:snapToGrid w:val="0"/>
        <w:spacing w:line="460" w:lineRule="exact"/>
        <w:ind w:firstLine="411" w:firstLineChars="196"/>
        <w:rPr>
          <w:rFonts w:hAnsi="宋体"/>
          <w:szCs w:val="21"/>
        </w:rPr>
      </w:pPr>
    </w:p>
    <w:p w14:paraId="282F77A5">
      <w:pPr>
        <w:snapToGrid w:val="0"/>
        <w:spacing w:line="460" w:lineRule="exact"/>
        <w:ind w:firstLine="411" w:firstLineChars="196"/>
        <w:rPr>
          <w:rFonts w:hAnsi="宋体"/>
          <w:szCs w:val="21"/>
        </w:rPr>
      </w:pPr>
    </w:p>
    <w:p w14:paraId="079B2A57">
      <w:pPr>
        <w:rPr>
          <w:rFonts w:hint="eastAsia" w:ascii="宋体" w:hAnsi="宋体" w:cs="宋体"/>
          <w:b/>
          <w:sz w:val="24"/>
        </w:rPr>
      </w:pPr>
      <w:r>
        <w:rPr>
          <w:rFonts w:hint="eastAsia"/>
          <w:b/>
          <w:sz w:val="24"/>
        </w:rPr>
        <w:t>（注：本报价表为必要文件，必须加盖报价供应商公章，否则作无效报价处理）</w:t>
      </w:r>
    </w:p>
    <w:p w14:paraId="16FA0440">
      <w:pPr>
        <w:rPr>
          <w:rFonts w:hint="eastAsia" w:ascii="宋体" w:hAnsi="宋体" w:cs="宋体"/>
          <w:b/>
          <w:sz w:val="24"/>
        </w:rPr>
      </w:pPr>
      <w:r>
        <w:rPr>
          <w:rFonts w:hint="eastAsia" w:ascii="宋体" w:hAnsi="宋体" w:cs="宋体"/>
          <w:b/>
          <w:sz w:val="24"/>
        </w:rPr>
        <w:br w:type="page"/>
      </w:r>
    </w:p>
    <w:p w14:paraId="038E4050">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42CBE3B5">
      <w:pPr>
        <w:pStyle w:val="3"/>
        <w:spacing w:before="0" w:after="0" w:line="400" w:lineRule="exact"/>
        <w:rPr>
          <w:rFonts w:ascii="宋体" w:hAnsi="宋体" w:cs="宋体"/>
          <w:szCs w:val="28"/>
        </w:rPr>
      </w:pPr>
    </w:p>
    <w:p w14:paraId="008BE46C">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4739C8B5">
      <w:pPr>
        <w:pStyle w:val="17"/>
        <w:widowControl w:val="0"/>
        <w:spacing w:line="480" w:lineRule="auto"/>
        <w:ind w:firstLine="0" w:firstLineChars="0"/>
        <w:jc w:val="left"/>
        <w:textAlignment w:val="auto"/>
        <w:rPr>
          <w:rFonts w:ascii="仿宋" w:hAnsi="仿宋" w:eastAsia="仿宋" w:cs="仿宋"/>
          <w:sz w:val="24"/>
          <w:szCs w:val="24"/>
        </w:rPr>
      </w:pPr>
    </w:p>
    <w:p w14:paraId="58810733">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；且非联合体、关联企业竞价投标，</w:t>
      </w:r>
      <w:r>
        <w:rPr>
          <w:rFonts w:hint="eastAsia" w:ascii="宋体" w:hAnsi="宋体" w:cs="宋体"/>
          <w:sz w:val="24"/>
          <w:szCs w:val="24"/>
          <w:lang w:val="en-US" w:eastAsia="zh-CN"/>
        </w:rPr>
        <w:t>不</w:t>
      </w:r>
      <w:r>
        <w:rPr>
          <w:rFonts w:hint="eastAsia" w:ascii="宋体" w:hAnsi="宋体" w:cs="宋体"/>
          <w:sz w:val="24"/>
          <w:szCs w:val="24"/>
          <w:lang w:eastAsia="zh-CN"/>
        </w:rPr>
        <w:t>对本项目进行分包和转包。如若我方不符合上述声明，则贵校有权随时无条件解除双方之间合同，一切责任均由我方承担</w:t>
      </w:r>
      <w:r>
        <w:rPr>
          <w:rFonts w:hint="eastAsia" w:ascii="宋体" w:hAnsi="宋体" w:cs="宋体"/>
          <w:sz w:val="24"/>
          <w:szCs w:val="24"/>
        </w:rPr>
        <w:t>。</w:t>
      </w:r>
    </w:p>
    <w:p w14:paraId="0F6D1825">
      <w:pPr>
        <w:pStyle w:val="17"/>
        <w:ind w:firstLine="480"/>
        <w:jc w:val="left"/>
        <w:rPr>
          <w:rFonts w:ascii="宋体" w:hAnsi="宋体" w:cs="宋体"/>
          <w:sz w:val="24"/>
          <w:szCs w:val="24"/>
        </w:rPr>
      </w:pPr>
    </w:p>
    <w:p w14:paraId="68392645">
      <w:pPr>
        <w:tabs>
          <w:tab w:val="left" w:pos="676"/>
          <w:tab w:val="left" w:pos="2330"/>
          <w:tab w:val="left" w:pos="9230"/>
        </w:tabs>
        <w:autoSpaceDE w:val="0"/>
        <w:autoSpaceDN w:val="0"/>
        <w:adjustRightInd w:val="0"/>
        <w:rPr>
          <w:rFonts w:ascii="宋体" w:hAnsi="宋体" w:cs="宋体"/>
          <w:sz w:val="24"/>
          <w:szCs w:val="24"/>
        </w:rPr>
      </w:pPr>
    </w:p>
    <w:p w14:paraId="54762EB7">
      <w:pPr>
        <w:tabs>
          <w:tab w:val="left" w:pos="676"/>
          <w:tab w:val="left" w:pos="2330"/>
          <w:tab w:val="left" w:pos="9230"/>
        </w:tabs>
        <w:autoSpaceDE w:val="0"/>
        <w:autoSpaceDN w:val="0"/>
        <w:adjustRightInd w:val="0"/>
        <w:rPr>
          <w:rFonts w:ascii="宋体" w:hAnsi="宋体" w:cs="宋体"/>
          <w:sz w:val="24"/>
          <w:szCs w:val="24"/>
        </w:rPr>
      </w:pPr>
    </w:p>
    <w:p w14:paraId="47C12FB0">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6CFC4AA1">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961338B">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62DCB7DD">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6EAB5C40">
      <w:pPr>
        <w:rPr>
          <w:rFonts w:cs="Tahoma"/>
          <w:b/>
          <w:sz w:val="24"/>
        </w:rPr>
      </w:pPr>
    </w:p>
    <w:p w14:paraId="74DEEDEF">
      <w:pPr>
        <w:rPr>
          <w:rFonts w:cs="Tahoma"/>
          <w:b/>
          <w:sz w:val="24"/>
        </w:rPr>
      </w:pPr>
    </w:p>
    <w:p w14:paraId="7B2C26B9">
      <w:pPr>
        <w:rPr>
          <w:rFonts w:cs="Tahoma"/>
          <w:b/>
          <w:sz w:val="24"/>
        </w:rPr>
      </w:pPr>
    </w:p>
    <w:p w14:paraId="57D63C15">
      <w:pPr>
        <w:rPr>
          <w:rFonts w:cs="Tahoma"/>
          <w:b/>
          <w:sz w:val="24"/>
        </w:rPr>
      </w:pPr>
    </w:p>
    <w:p w14:paraId="62E7A59B">
      <w:pPr>
        <w:rPr>
          <w:rFonts w:cs="Tahoma"/>
          <w:b/>
          <w:sz w:val="24"/>
        </w:rPr>
      </w:pPr>
    </w:p>
    <w:p w14:paraId="2645A86E">
      <w:pPr>
        <w:rPr>
          <w:rFonts w:cs="Tahoma"/>
          <w:b/>
          <w:sz w:val="24"/>
        </w:rPr>
      </w:pPr>
    </w:p>
    <w:p w14:paraId="74FDB7DF">
      <w:pPr>
        <w:rPr>
          <w:rFonts w:cs="Tahoma"/>
          <w:b/>
          <w:sz w:val="24"/>
        </w:rPr>
      </w:pPr>
    </w:p>
    <w:p w14:paraId="43DA2BA8">
      <w:pPr>
        <w:rPr>
          <w:rFonts w:cs="Tahoma"/>
          <w:b/>
          <w:sz w:val="24"/>
        </w:rPr>
      </w:pPr>
    </w:p>
    <w:p w14:paraId="212A49B2">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6212D"/>
    <w:multiLevelType w:val="singleLevel"/>
    <w:tmpl w:val="9C86212D"/>
    <w:lvl w:ilvl="0" w:tentative="0">
      <w:start w:val="1"/>
      <w:numFmt w:val="decimal"/>
      <w:suff w:val="nothing"/>
      <w:lvlText w:val="%1．"/>
      <w:lvlJc w:val="left"/>
      <w:pPr>
        <w:ind w:left="0" w:firstLine="0"/>
      </w:pPr>
      <w:rPr>
        <w:rFonts w:hint="default"/>
      </w:rPr>
    </w:lvl>
  </w:abstractNum>
  <w:abstractNum w:abstractNumId="1">
    <w:nsid w:val="B4894D84"/>
    <w:multiLevelType w:val="singleLevel"/>
    <w:tmpl w:val="B4894D84"/>
    <w:lvl w:ilvl="0" w:tentative="0">
      <w:start w:val="1"/>
      <w:numFmt w:val="decimal"/>
      <w:suff w:val="nothing"/>
      <w:lvlText w:val="（%1）"/>
      <w:lvlJc w:val="left"/>
    </w:lvl>
  </w:abstractNum>
  <w:abstractNum w:abstractNumId="2">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3">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4">
    <w:nsid w:val="D7BFA755"/>
    <w:multiLevelType w:val="singleLevel"/>
    <w:tmpl w:val="D7BFA755"/>
    <w:lvl w:ilvl="0" w:tentative="0">
      <w:start w:val="1"/>
      <w:numFmt w:val="decimal"/>
      <w:suff w:val="nothing"/>
      <w:lvlText w:val="（%1）"/>
      <w:lvlJc w:val="left"/>
    </w:lvl>
  </w:abstractNum>
  <w:abstractNum w:abstractNumId="5">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6">
    <w:nsid w:val="E7D27291"/>
    <w:multiLevelType w:val="singleLevel"/>
    <w:tmpl w:val="E7D27291"/>
    <w:lvl w:ilvl="0" w:tentative="0">
      <w:start w:val="1"/>
      <w:numFmt w:val="decimal"/>
      <w:suff w:val="nothing"/>
      <w:lvlText w:val="（%1）"/>
      <w:lvlJc w:val="left"/>
    </w:lvl>
  </w:abstractNum>
  <w:abstractNum w:abstractNumId="7">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8">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5"/>
  </w:num>
  <w:num w:numId="2">
    <w:abstractNumId w:val="7"/>
  </w:num>
  <w:num w:numId="3">
    <w:abstractNumId w:val="3"/>
  </w:num>
  <w:num w:numId="4">
    <w:abstractNumId w:val="0"/>
  </w:num>
  <w:num w:numId="5">
    <w:abstractNumId w:val="4"/>
  </w:num>
  <w:num w:numId="6">
    <w:abstractNumId w:val="6"/>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0A87E37"/>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3045A1"/>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9453094"/>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4858</Words>
  <Characters>4936</Characters>
  <Lines>0</Lines>
  <Paragraphs>0</Paragraphs>
  <TotalTime>0</TotalTime>
  <ScaleCrop>false</ScaleCrop>
  <LinksUpToDate>false</LinksUpToDate>
  <CharactersWithSpaces>4943</CharactersWithSpaces>
  <Application>WPS Office_12.1.0.18888_F1E327BC-269C-435d-A152-05C5408002CA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南巷风</cp:lastModifiedBy>
  <dcterms:modified xsi:type="dcterms:W3CDTF">2024-10-29T01:43:30Z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2052-12.1.0.18888</vt:lpwstr>
  </property>
  <property fmtid="{D5CDD505-2E9C-101B-9397-08002B2CF9AE}" pid="3" name="ICV">
    <vt:lpwstr>73DF1C4129474E488C9DFA3E949F46AB_13</vt:lpwstr>
  </property>
</Properties>
</file>