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191BA">
      <w:pPr>
        <w:jc w:val="center"/>
        <w:rPr>
          <w:rFonts w:hint="eastAsia" w:ascii="宋体" w:hAnsi="宋体" w:eastAsia="宋体" w:cs="宋体"/>
          <w:b/>
          <w:bCs/>
          <w:sz w:val="36"/>
          <w:szCs w:val="36"/>
        </w:rPr>
      </w:pPr>
      <w:r>
        <w:rPr>
          <w:rFonts w:hint="eastAsia" w:ascii="宋体" w:hAnsi="宋体" w:eastAsia="宋体" w:cs="宋体"/>
          <w:b/>
          <w:bCs/>
          <w:sz w:val="36"/>
          <w:szCs w:val="36"/>
        </w:rPr>
        <w:t>广东生态工程职业学院附属小学校内课后托管服务项目</w:t>
      </w:r>
      <w:r>
        <w:rPr>
          <w:rFonts w:hint="eastAsia" w:ascii="宋体" w:hAnsi="宋体" w:eastAsia="宋体" w:cs="宋体"/>
          <w:b/>
          <w:bCs/>
          <w:sz w:val="36"/>
          <w:szCs w:val="36"/>
          <w:lang w:eastAsia="zh-CN"/>
        </w:rPr>
        <w:t>（</w:t>
      </w:r>
      <w:r>
        <w:rPr>
          <w:rFonts w:hint="eastAsia" w:ascii="宋体" w:hAnsi="宋体" w:eastAsia="宋体" w:cs="宋体"/>
          <w:b/>
          <w:bCs/>
          <w:sz w:val="36"/>
          <w:szCs w:val="36"/>
          <w:lang w:val="en-US" w:eastAsia="zh-CN"/>
        </w:rPr>
        <w:t>2025-2027年）</w:t>
      </w:r>
      <w:r>
        <w:rPr>
          <w:rFonts w:hint="eastAsia" w:ascii="宋体" w:hAnsi="宋体" w:eastAsia="宋体" w:cs="宋体"/>
          <w:b/>
          <w:bCs/>
          <w:sz w:val="36"/>
          <w:szCs w:val="36"/>
        </w:rPr>
        <w:t>招标公告</w:t>
      </w:r>
    </w:p>
    <w:p w14:paraId="069C0B0B">
      <w:pPr>
        <w:numPr>
          <w:ilvl w:val="0"/>
          <w:numId w:val="1"/>
        </w:numPr>
        <w:rPr>
          <w:rFonts w:hint="eastAsia" w:ascii="宋体" w:hAnsi="宋体" w:eastAsia="宋体" w:cs="宋体"/>
          <w:b/>
          <w:bCs/>
          <w:sz w:val="28"/>
          <w:szCs w:val="28"/>
        </w:rPr>
      </w:pPr>
      <w:r>
        <w:rPr>
          <w:rFonts w:hint="eastAsia" w:ascii="宋体" w:hAnsi="宋体" w:eastAsia="宋体" w:cs="宋体"/>
          <w:b/>
          <w:bCs/>
          <w:sz w:val="28"/>
          <w:szCs w:val="28"/>
        </w:rPr>
        <w:t>项目概况</w:t>
      </w:r>
    </w:p>
    <w:p w14:paraId="3E83E8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根据《广州市教育局关于进一步做好中小学生校内课后服务工作的指导意见》（穗教基教〔2018〕17号）《广州市教育局关于推进落实中小学生校内课后服务有关工作的通知》（穗教基教〔2018〕24号）等文件精神，为做好下一阶段校内课后托管工作，广东生态工程职业学院附属小学现诚邀符合条件的投标人参与广东生态工程职业学院附属小学校内课后托管服务项目（2025-2027年）”投标，详情如下：</w:t>
      </w:r>
    </w:p>
    <w:p w14:paraId="185882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项目名称：广东生态工程职业学院附属小学校内课后托管服务项目（2025-2027年）</w:t>
      </w:r>
    </w:p>
    <w:p w14:paraId="49E760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项目内容：本项目确定一家第三方服务机构作为广东生态工程职业学院附属小学校内课后托管服务项目的准入机构</w:t>
      </w:r>
    </w:p>
    <w:p w14:paraId="4827BF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项目时间：服务期自签订合同之日起至202</w:t>
      </w:r>
      <w:r>
        <w:rPr>
          <w:rFonts w:hint="eastAsia" w:ascii="宋体" w:hAnsi="宋体" w:eastAsia="宋体" w:cs="宋体"/>
          <w:sz w:val="28"/>
          <w:szCs w:val="28"/>
          <w:lang w:val="en-US" w:eastAsia="zh-CN"/>
        </w:rPr>
        <w:t>7</w:t>
      </w:r>
      <w:r>
        <w:rPr>
          <w:rFonts w:hint="eastAsia" w:ascii="宋体" w:hAnsi="宋体" w:eastAsia="宋体" w:cs="宋体"/>
          <w:sz w:val="28"/>
          <w:szCs w:val="28"/>
        </w:rPr>
        <w:t>年末结束之日（具体以学生在校学习的校历为准）</w:t>
      </w:r>
    </w:p>
    <w:p w14:paraId="1157A783">
      <w:pPr>
        <w:numPr>
          <w:ilvl w:val="0"/>
          <w:numId w:val="1"/>
        </w:numPr>
        <w:rPr>
          <w:rFonts w:hint="eastAsia" w:ascii="宋体" w:hAnsi="宋体" w:eastAsia="宋体" w:cs="宋体"/>
          <w:b/>
          <w:bCs/>
          <w:sz w:val="28"/>
          <w:szCs w:val="28"/>
        </w:rPr>
      </w:pPr>
      <w:r>
        <w:rPr>
          <w:rFonts w:hint="eastAsia" w:ascii="宋体" w:hAnsi="宋体" w:eastAsia="宋体" w:cs="宋体"/>
          <w:b/>
          <w:bCs/>
          <w:sz w:val="28"/>
          <w:szCs w:val="28"/>
        </w:rPr>
        <w:t>第三方服务机构资格要求</w:t>
      </w:r>
    </w:p>
    <w:p w14:paraId="0EC0E9BF">
      <w:pPr>
        <w:keepNext w:val="0"/>
        <w:keepLines w:val="0"/>
        <w:pageBreakBefore w:val="0"/>
        <w:widowControl w:val="0"/>
        <w:numPr>
          <w:ilvl w:val="0"/>
          <w:numId w:val="2"/>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第三方服务机构应是进入广州市天河区教育局校内课后服务引入第三方机构白名单。按照区教育局相关要求缴存专项风险储备金共计30万元。并必须具备以下条件：</w:t>
      </w:r>
    </w:p>
    <w:p w14:paraId="5F0EC992">
      <w:pPr>
        <w:keepNext w:val="0"/>
        <w:keepLines w:val="0"/>
        <w:pageBreakBefore w:val="0"/>
        <w:widowControl w:val="0"/>
        <w:numPr>
          <w:ilvl w:val="0"/>
          <w:numId w:val="3"/>
        </w:numPr>
        <w:kinsoku/>
        <w:wordWrap/>
        <w:overflowPunct/>
        <w:topLinePunct w:val="0"/>
        <w:autoSpaceDE/>
        <w:autoSpaceDN/>
        <w:bidi w:val="0"/>
        <w:adjustRightInd/>
        <w:snapToGrid/>
        <w:ind w:left="0" w:leftChars="0" w:firstLine="400" w:firstLineChars="0"/>
        <w:textAlignment w:val="auto"/>
        <w:rPr>
          <w:rFonts w:hint="eastAsia" w:ascii="宋体" w:hAnsi="宋体" w:eastAsia="宋体" w:cs="宋体"/>
          <w:sz w:val="28"/>
          <w:szCs w:val="28"/>
        </w:rPr>
      </w:pPr>
      <w:r>
        <w:rPr>
          <w:rFonts w:hint="eastAsia" w:ascii="宋体" w:hAnsi="宋体" w:eastAsia="宋体" w:cs="宋体"/>
          <w:sz w:val="28"/>
          <w:szCs w:val="28"/>
        </w:rPr>
        <w:t>遵守《中华人民共和国义务教育法》、《中华人民共和国教育法》、《中华人民共和国教师法》、《广东省教育厅关于做好中小学生校内课后服务工作的指导意见》等法律法规和文件精神，以及天河区教育主管部门相关文件精神,机构在托管服务过程中必须保证有良好的师德师风，负责好学生的安全，严格管理和服务的规程，保证让采购人放心，让师生和家长满意；</w:t>
      </w:r>
    </w:p>
    <w:p w14:paraId="5B16A412">
      <w:pPr>
        <w:keepNext w:val="0"/>
        <w:keepLines w:val="0"/>
        <w:pageBreakBefore w:val="0"/>
        <w:widowControl w:val="0"/>
        <w:numPr>
          <w:ilvl w:val="0"/>
          <w:numId w:val="3"/>
        </w:numPr>
        <w:kinsoku/>
        <w:wordWrap/>
        <w:overflowPunct/>
        <w:topLinePunct w:val="0"/>
        <w:autoSpaceDE/>
        <w:autoSpaceDN/>
        <w:bidi w:val="0"/>
        <w:adjustRightInd/>
        <w:snapToGrid/>
        <w:ind w:left="0" w:leftChars="0" w:firstLine="400" w:firstLineChars="0"/>
        <w:textAlignment w:val="auto"/>
        <w:rPr>
          <w:rFonts w:hint="eastAsia" w:ascii="宋体" w:hAnsi="宋体" w:eastAsia="宋体" w:cs="宋体"/>
          <w:sz w:val="28"/>
          <w:szCs w:val="28"/>
        </w:rPr>
      </w:pPr>
      <w:r>
        <w:rPr>
          <w:rFonts w:hint="eastAsia" w:ascii="宋体" w:hAnsi="宋体" w:eastAsia="宋体" w:cs="宋体"/>
          <w:sz w:val="28"/>
          <w:szCs w:val="28"/>
        </w:rPr>
        <w:t>机构必须为天河区课后服务第三方机构白名单之一；</w:t>
      </w:r>
    </w:p>
    <w:p w14:paraId="63DB3501">
      <w:pPr>
        <w:keepNext w:val="0"/>
        <w:keepLines w:val="0"/>
        <w:pageBreakBefore w:val="0"/>
        <w:widowControl w:val="0"/>
        <w:numPr>
          <w:ilvl w:val="0"/>
          <w:numId w:val="3"/>
        </w:numPr>
        <w:kinsoku/>
        <w:wordWrap/>
        <w:overflowPunct/>
        <w:topLinePunct w:val="0"/>
        <w:autoSpaceDE/>
        <w:autoSpaceDN/>
        <w:bidi w:val="0"/>
        <w:adjustRightInd/>
        <w:snapToGrid/>
        <w:ind w:left="0" w:leftChars="0" w:firstLine="400" w:firstLineChars="0"/>
        <w:textAlignment w:val="auto"/>
        <w:rPr>
          <w:rFonts w:hint="eastAsia" w:ascii="宋体" w:hAnsi="宋体" w:eastAsia="宋体" w:cs="宋体"/>
          <w:sz w:val="28"/>
          <w:szCs w:val="28"/>
        </w:rPr>
      </w:pPr>
      <w:r>
        <w:rPr>
          <w:rFonts w:hint="eastAsia" w:ascii="宋体" w:hAnsi="宋体" w:eastAsia="宋体" w:cs="宋体"/>
          <w:sz w:val="28"/>
          <w:szCs w:val="28"/>
        </w:rPr>
        <w:t>遵守采购人管理制度，服务人员到校必须服从采购人的统一管理，维护采购人荣誉，有较强的为师生和家长服务的意识；</w:t>
      </w:r>
    </w:p>
    <w:p w14:paraId="5DC629D5">
      <w:pPr>
        <w:keepNext w:val="0"/>
        <w:keepLines w:val="0"/>
        <w:pageBreakBefore w:val="0"/>
        <w:widowControl w:val="0"/>
        <w:numPr>
          <w:ilvl w:val="0"/>
          <w:numId w:val="3"/>
        </w:numPr>
        <w:kinsoku/>
        <w:wordWrap/>
        <w:overflowPunct/>
        <w:topLinePunct w:val="0"/>
        <w:autoSpaceDE/>
        <w:autoSpaceDN/>
        <w:bidi w:val="0"/>
        <w:adjustRightInd/>
        <w:snapToGrid/>
        <w:ind w:left="0" w:leftChars="0" w:firstLine="400" w:firstLineChars="0"/>
        <w:textAlignment w:val="auto"/>
        <w:rPr>
          <w:rFonts w:hint="eastAsia" w:ascii="宋体" w:hAnsi="宋体" w:eastAsia="宋体" w:cs="宋体"/>
          <w:sz w:val="28"/>
          <w:szCs w:val="28"/>
        </w:rPr>
      </w:pPr>
      <w:r>
        <w:rPr>
          <w:rFonts w:hint="eastAsia" w:ascii="宋体" w:hAnsi="宋体" w:eastAsia="宋体" w:cs="宋体"/>
          <w:sz w:val="28"/>
          <w:szCs w:val="28"/>
        </w:rPr>
        <w:t>机构必须为参加课后托管服务的学生购买相关保险；</w:t>
      </w:r>
    </w:p>
    <w:p w14:paraId="2154D6D9">
      <w:pPr>
        <w:keepNext w:val="0"/>
        <w:keepLines w:val="0"/>
        <w:pageBreakBefore w:val="0"/>
        <w:widowControl w:val="0"/>
        <w:numPr>
          <w:ilvl w:val="0"/>
          <w:numId w:val="3"/>
        </w:numPr>
        <w:kinsoku/>
        <w:wordWrap/>
        <w:overflowPunct/>
        <w:topLinePunct w:val="0"/>
        <w:autoSpaceDE/>
        <w:autoSpaceDN/>
        <w:bidi w:val="0"/>
        <w:adjustRightInd/>
        <w:snapToGrid/>
        <w:ind w:left="0" w:leftChars="0" w:firstLine="400" w:firstLineChars="0"/>
        <w:textAlignment w:val="auto"/>
        <w:rPr>
          <w:rFonts w:hint="eastAsia" w:ascii="宋体" w:hAnsi="宋体" w:eastAsia="宋体" w:cs="宋体"/>
          <w:sz w:val="28"/>
          <w:szCs w:val="28"/>
        </w:rPr>
      </w:pPr>
      <w:r>
        <w:rPr>
          <w:rFonts w:hint="eastAsia" w:ascii="宋体" w:hAnsi="宋体" w:eastAsia="宋体" w:cs="宋体"/>
          <w:sz w:val="28"/>
          <w:szCs w:val="28"/>
        </w:rPr>
        <w:t>机构要负责准备个性托管服务需要的各种设备，包括教材和教具；每次到校服务的人员要爱护采购人的公共设施和教室的设备，确保设备设施完好，如有损坏应负责修复，无法修复的要负责更新；</w:t>
      </w:r>
    </w:p>
    <w:p w14:paraId="287AEA68">
      <w:pPr>
        <w:keepNext w:val="0"/>
        <w:keepLines w:val="0"/>
        <w:pageBreakBefore w:val="0"/>
        <w:widowControl w:val="0"/>
        <w:numPr>
          <w:ilvl w:val="0"/>
          <w:numId w:val="3"/>
        </w:numPr>
        <w:kinsoku/>
        <w:wordWrap/>
        <w:overflowPunct/>
        <w:topLinePunct w:val="0"/>
        <w:autoSpaceDE/>
        <w:autoSpaceDN/>
        <w:bidi w:val="0"/>
        <w:adjustRightInd/>
        <w:snapToGrid/>
        <w:ind w:left="0" w:leftChars="0" w:firstLine="400" w:firstLineChars="0"/>
        <w:textAlignment w:val="auto"/>
        <w:rPr>
          <w:rFonts w:hint="eastAsia" w:ascii="宋体" w:hAnsi="宋体" w:eastAsia="宋体" w:cs="宋体"/>
          <w:sz w:val="28"/>
          <w:szCs w:val="28"/>
        </w:rPr>
      </w:pPr>
      <w:r>
        <w:rPr>
          <w:rFonts w:hint="eastAsia" w:ascii="宋体" w:hAnsi="宋体" w:eastAsia="宋体" w:cs="宋体"/>
          <w:sz w:val="28"/>
          <w:szCs w:val="28"/>
        </w:rPr>
        <w:t>能确保每日准时到校开展托管服务，不迟到，不早退，服务收费价格应该低于天河区少年宫同等服务的价格。中标人必须强化责任，必须承担社会责任，在适度合理回报基础上，把家长需求、采购人资源有机融合，助益学生素质发展；</w:t>
      </w:r>
    </w:p>
    <w:p w14:paraId="011C4AD9">
      <w:pPr>
        <w:keepNext w:val="0"/>
        <w:keepLines w:val="0"/>
        <w:pageBreakBefore w:val="0"/>
        <w:widowControl w:val="0"/>
        <w:numPr>
          <w:ilvl w:val="0"/>
          <w:numId w:val="3"/>
        </w:numPr>
        <w:kinsoku/>
        <w:wordWrap/>
        <w:overflowPunct/>
        <w:topLinePunct w:val="0"/>
        <w:autoSpaceDE/>
        <w:autoSpaceDN/>
        <w:bidi w:val="0"/>
        <w:adjustRightInd/>
        <w:snapToGrid/>
        <w:ind w:left="0" w:leftChars="0" w:firstLine="400" w:firstLineChars="0"/>
        <w:textAlignment w:val="auto"/>
        <w:rPr>
          <w:rFonts w:hint="eastAsia" w:ascii="宋体" w:hAnsi="宋体" w:eastAsia="宋体" w:cs="宋体"/>
          <w:sz w:val="28"/>
          <w:szCs w:val="28"/>
        </w:rPr>
      </w:pPr>
      <w:r>
        <w:rPr>
          <w:rFonts w:hint="eastAsia" w:ascii="宋体" w:hAnsi="宋体" w:eastAsia="宋体" w:cs="宋体"/>
          <w:sz w:val="28"/>
          <w:szCs w:val="28"/>
        </w:rPr>
        <w:t>机构必须立足公益普惠的出发点，服务学生、服务社会。严禁利用学校为宣传阵地，通过其他方式宣传或开展校外增值服务。接受采购人（包括家长委员会、社会各界）对服务态度、服务质量及价格等进行的监督、检查；</w:t>
      </w:r>
    </w:p>
    <w:p w14:paraId="678F94D0">
      <w:pPr>
        <w:keepNext w:val="0"/>
        <w:keepLines w:val="0"/>
        <w:pageBreakBefore w:val="0"/>
        <w:widowControl w:val="0"/>
        <w:numPr>
          <w:ilvl w:val="0"/>
          <w:numId w:val="3"/>
        </w:numPr>
        <w:kinsoku/>
        <w:wordWrap/>
        <w:overflowPunct/>
        <w:topLinePunct w:val="0"/>
        <w:autoSpaceDE/>
        <w:autoSpaceDN/>
        <w:bidi w:val="0"/>
        <w:adjustRightInd/>
        <w:snapToGrid/>
        <w:ind w:left="0" w:leftChars="0" w:firstLine="400" w:firstLineChars="0"/>
        <w:textAlignment w:val="auto"/>
        <w:rPr>
          <w:rFonts w:hint="eastAsia" w:ascii="宋体" w:hAnsi="宋体" w:eastAsia="宋体" w:cs="宋体"/>
          <w:sz w:val="28"/>
          <w:szCs w:val="28"/>
        </w:rPr>
      </w:pPr>
      <w:r>
        <w:rPr>
          <w:rFonts w:hint="eastAsia" w:ascii="宋体" w:hAnsi="宋体" w:eastAsia="宋体" w:cs="宋体"/>
          <w:sz w:val="28"/>
          <w:szCs w:val="28"/>
        </w:rPr>
        <w:t>机构必须遵纪守法、自主经营、自负盈亏，不得转租转包；</w:t>
      </w:r>
    </w:p>
    <w:p w14:paraId="706EE40B">
      <w:pPr>
        <w:keepNext w:val="0"/>
        <w:keepLines w:val="0"/>
        <w:pageBreakBefore w:val="0"/>
        <w:widowControl w:val="0"/>
        <w:numPr>
          <w:ilvl w:val="0"/>
          <w:numId w:val="3"/>
        </w:numPr>
        <w:kinsoku/>
        <w:wordWrap/>
        <w:overflowPunct/>
        <w:topLinePunct w:val="0"/>
        <w:autoSpaceDE/>
        <w:autoSpaceDN/>
        <w:bidi w:val="0"/>
        <w:adjustRightInd/>
        <w:snapToGrid/>
        <w:ind w:left="0" w:leftChars="0" w:firstLine="400" w:firstLineChars="0"/>
        <w:textAlignment w:val="auto"/>
        <w:rPr>
          <w:rFonts w:hint="eastAsia" w:ascii="宋体" w:hAnsi="宋体" w:eastAsia="宋体" w:cs="宋体"/>
          <w:sz w:val="28"/>
          <w:szCs w:val="28"/>
        </w:rPr>
      </w:pPr>
      <w:r>
        <w:rPr>
          <w:rFonts w:hint="eastAsia" w:ascii="宋体" w:hAnsi="宋体" w:eastAsia="宋体" w:cs="宋体"/>
          <w:sz w:val="28"/>
          <w:szCs w:val="28"/>
        </w:rPr>
        <w:t>机构资质经营范围需涵盖“人文艺术、科技、体育、综合实践”科目分类类别，优先选择经营范围齐全的机构；</w:t>
      </w:r>
    </w:p>
    <w:p w14:paraId="4EC9ABB0">
      <w:pPr>
        <w:keepNext w:val="0"/>
        <w:keepLines w:val="0"/>
        <w:pageBreakBefore w:val="0"/>
        <w:widowControl w:val="0"/>
        <w:numPr>
          <w:ilvl w:val="0"/>
          <w:numId w:val="3"/>
        </w:numPr>
        <w:kinsoku/>
        <w:wordWrap/>
        <w:overflowPunct/>
        <w:topLinePunct w:val="0"/>
        <w:autoSpaceDE/>
        <w:autoSpaceDN/>
        <w:bidi w:val="0"/>
        <w:adjustRightInd/>
        <w:snapToGrid/>
        <w:ind w:left="0" w:leftChars="0" w:firstLine="400" w:firstLineChars="0"/>
        <w:textAlignment w:val="auto"/>
        <w:rPr>
          <w:rFonts w:hint="eastAsia" w:ascii="宋体" w:hAnsi="宋体" w:eastAsia="宋体" w:cs="宋体"/>
          <w:sz w:val="28"/>
          <w:szCs w:val="28"/>
        </w:rPr>
      </w:pPr>
      <w:r>
        <w:rPr>
          <w:rFonts w:hint="eastAsia" w:ascii="宋体" w:hAnsi="宋体" w:eastAsia="宋体" w:cs="宋体"/>
          <w:sz w:val="28"/>
          <w:szCs w:val="28"/>
        </w:rPr>
        <w:t>机构在服务期间，因重要检查、大型活动、突发公共事件对采购人特别委派任务，中标人必须积极无条件响应，并按采购人的要求2小时内到达工作现场</w:t>
      </w:r>
      <w:r>
        <w:rPr>
          <w:rFonts w:hint="eastAsia" w:ascii="宋体" w:hAnsi="宋体" w:eastAsia="宋体" w:cs="宋体"/>
          <w:sz w:val="28"/>
          <w:szCs w:val="28"/>
          <w:lang w:eastAsia="zh-CN"/>
        </w:rPr>
        <w:t>；</w:t>
      </w:r>
    </w:p>
    <w:p w14:paraId="57E2104F">
      <w:pPr>
        <w:keepNext w:val="0"/>
        <w:keepLines w:val="0"/>
        <w:pageBreakBefore w:val="0"/>
        <w:widowControl w:val="0"/>
        <w:numPr>
          <w:ilvl w:val="0"/>
          <w:numId w:val="3"/>
        </w:numPr>
        <w:kinsoku/>
        <w:wordWrap/>
        <w:overflowPunct/>
        <w:topLinePunct w:val="0"/>
        <w:autoSpaceDE/>
        <w:autoSpaceDN/>
        <w:bidi w:val="0"/>
        <w:adjustRightInd/>
        <w:snapToGrid/>
        <w:ind w:left="0" w:leftChars="0" w:firstLine="400" w:firstLineChars="0"/>
        <w:textAlignment w:val="auto"/>
        <w:rPr>
          <w:rFonts w:hint="eastAsia" w:ascii="宋体" w:hAnsi="宋体" w:eastAsia="宋体" w:cs="宋体"/>
          <w:sz w:val="28"/>
          <w:szCs w:val="28"/>
        </w:rPr>
      </w:pPr>
      <w:r>
        <w:rPr>
          <w:rFonts w:hint="eastAsia" w:ascii="宋体" w:hAnsi="宋体" w:eastAsia="宋体" w:cs="宋体"/>
          <w:sz w:val="28"/>
          <w:szCs w:val="28"/>
        </w:rPr>
        <w:t>具有竞争力的品牌课程，能为学校促进学生全面发展提供增值服务的机构优先考虑。</w:t>
      </w:r>
    </w:p>
    <w:p w14:paraId="6473DB67">
      <w:pPr>
        <w:keepNext w:val="0"/>
        <w:keepLines w:val="0"/>
        <w:pageBreakBefore w:val="0"/>
        <w:widowControl w:val="0"/>
        <w:numPr>
          <w:ilvl w:val="0"/>
          <w:numId w:val="2"/>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第三方服务机构必须有教育情怀，愿意承担社会责任，在适度合理回报基础上，把家长需求、学校资源有机融合，助益学生素质发展。</w:t>
      </w:r>
    </w:p>
    <w:p w14:paraId="1E2A479D">
      <w:pPr>
        <w:keepNext w:val="0"/>
        <w:keepLines w:val="0"/>
        <w:pageBreakBefore w:val="0"/>
        <w:widowControl w:val="0"/>
        <w:numPr>
          <w:ilvl w:val="0"/>
          <w:numId w:val="2"/>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第三方服务机构必须承诺与天河区的学校合作开展校内课后服务不超过8间。（承诺函盖公司盖章）</w:t>
      </w:r>
    </w:p>
    <w:p w14:paraId="01C13CB9">
      <w:pPr>
        <w:keepNext w:val="0"/>
        <w:keepLines w:val="0"/>
        <w:pageBreakBefore w:val="0"/>
        <w:widowControl w:val="0"/>
        <w:numPr>
          <w:ilvl w:val="0"/>
          <w:numId w:val="2"/>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本项目不接受联合投标。</w:t>
      </w:r>
    </w:p>
    <w:p w14:paraId="4FED39A4">
      <w:pPr>
        <w:numPr>
          <w:ilvl w:val="0"/>
          <w:numId w:val="1"/>
        </w:numPr>
        <w:rPr>
          <w:rFonts w:hint="eastAsia" w:ascii="宋体" w:hAnsi="宋体" w:eastAsia="宋体" w:cs="宋体"/>
          <w:b/>
          <w:bCs/>
          <w:sz w:val="28"/>
          <w:szCs w:val="28"/>
        </w:rPr>
      </w:pPr>
      <w:r>
        <w:rPr>
          <w:rFonts w:hint="eastAsia" w:ascii="宋体" w:hAnsi="宋体" w:eastAsia="宋体" w:cs="宋体"/>
          <w:b/>
          <w:bCs/>
          <w:sz w:val="28"/>
          <w:szCs w:val="28"/>
        </w:rPr>
        <w:t>第三方机构的服务要求</w:t>
      </w:r>
    </w:p>
    <w:p w14:paraId="48B27A61">
      <w:pPr>
        <w:keepNext w:val="0"/>
        <w:keepLines w:val="0"/>
        <w:pageBreakBefore w:val="0"/>
        <w:widowControl w:val="0"/>
        <w:numPr>
          <w:ilvl w:val="0"/>
          <w:numId w:val="4"/>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服务</w:t>
      </w:r>
      <w:r>
        <w:rPr>
          <w:rFonts w:hint="eastAsia" w:ascii="宋体" w:hAnsi="宋体" w:eastAsia="宋体" w:cs="宋体"/>
          <w:sz w:val="28"/>
          <w:szCs w:val="28"/>
          <w:lang w:val="en-US" w:eastAsia="zh-CN"/>
        </w:rPr>
        <w:t>内容</w:t>
      </w:r>
    </w:p>
    <w:p w14:paraId="038EA3E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第一类：“下午基础托管服务”。主要形式是学生自主作业、自主阅读、自习等。</w:t>
      </w:r>
    </w:p>
    <w:p w14:paraId="1BFD1F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第二类：“素质类服务”。包括科学与综合实践类、体育类、艺术类等素质类课程。体育类开设篮球、跆拳道、武术、足球、羽毛球、健身操等；舞蹈类开设街舞、中国舞、拉丁舞、芭蕾舞等；美术类开设创意美术、素描、漫画、硬笔书法、陶艺、国画等；语言类紧贴外国语学校实际，不得组织学科培训类活动，项目内容必须结合学校客观条件尽力满足学生成长需求。</w:t>
      </w:r>
    </w:p>
    <w:p w14:paraId="40AE2223">
      <w:pPr>
        <w:keepNext w:val="0"/>
        <w:keepLines w:val="0"/>
        <w:pageBreakBefore w:val="0"/>
        <w:widowControl w:val="0"/>
        <w:numPr>
          <w:ilvl w:val="0"/>
          <w:numId w:val="4"/>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服务</w:t>
      </w:r>
      <w:r>
        <w:rPr>
          <w:rFonts w:hint="eastAsia" w:ascii="宋体" w:hAnsi="宋体" w:eastAsia="宋体" w:cs="宋体"/>
          <w:sz w:val="28"/>
          <w:szCs w:val="28"/>
          <w:lang w:val="en-US" w:eastAsia="zh-CN"/>
        </w:rPr>
        <w:t>时长</w:t>
      </w:r>
    </w:p>
    <w:p w14:paraId="471954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校内托管服务时间原则上为正常上课日下午放学后至18：05左右，具体可根据实际情况进行调整。</w:t>
      </w:r>
    </w:p>
    <w:p w14:paraId="620B1F33">
      <w:pPr>
        <w:keepNext w:val="0"/>
        <w:keepLines w:val="0"/>
        <w:pageBreakBefore w:val="0"/>
        <w:widowControl w:val="0"/>
        <w:numPr>
          <w:ilvl w:val="0"/>
          <w:numId w:val="4"/>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其他要求</w:t>
      </w:r>
    </w:p>
    <w:p w14:paraId="7CB8EE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第三方社会机构提供的下午课后托管服务全面包含对参加下午基本托管服务的学生实施区域化看管服务和安全保障服务、对参加素质类服务的学生实施团队辅导的服务以及安全保障服务。</w:t>
      </w:r>
    </w:p>
    <w:p w14:paraId="7E9DFAE0">
      <w:pPr>
        <w:numPr>
          <w:ilvl w:val="0"/>
          <w:numId w:val="1"/>
        </w:numPr>
        <w:rPr>
          <w:rFonts w:hint="eastAsia" w:ascii="宋体" w:hAnsi="宋体" w:eastAsia="宋体" w:cs="宋体"/>
          <w:b/>
          <w:bCs/>
          <w:sz w:val="28"/>
          <w:szCs w:val="28"/>
        </w:rPr>
      </w:pPr>
      <w:r>
        <w:rPr>
          <w:rFonts w:hint="eastAsia" w:ascii="宋体" w:hAnsi="宋体" w:eastAsia="宋体" w:cs="宋体"/>
          <w:b/>
          <w:bCs/>
          <w:sz w:val="28"/>
          <w:szCs w:val="28"/>
        </w:rPr>
        <w:t>响应文件递交截止时间、地点及要求</w:t>
      </w:r>
    </w:p>
    <w:p w14:paraId="177B2E08">
      <w:pPr>
        <w:keepNext w:val="0"/>
        <w:keepLines w:val="0"/>
        <w:pageBreakBefore w:val="0"/>
        <w:widowControl w:val="0"/>
        <w:numPr>
          <w:ilvl w:val="0"/>
          <w:numId w:val="5"/>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响应文件递交时间：202</w:t>
      </w:r>
      <w:r>
        <w:rPr>
          <w:rFonts w:hint="eastAsia" w:ascii="宋体" w:hAnsi="宋体" w:eastAsia="宋体" w:cs="宋体"/>
          <w:sz w:val="28"/>
          <w:szCs w:val="28"/>
          <w:lang w:val="en-US" w:eastAsia="zh-CN"/>
        </w:rPr>
        <w:t>4</w:t>
      </w:r>
      <w:r>
        <w:rPr>
          <w:rFonts w:hint="eastAsia" w:ascii="宋体" w:hAnsi="宋体" w:eastAsia="宋体" w:cs="宋体"/>
          <w:sz w:val="28"/>
          <w:szCs w:val="28"/>
        </w:rPr>
        <w:t>年</w:t>
      </w:r>
      <w:r>
        <w:rPr>
          <w:rFonts w:hint="eastAsia" w:ascii="宋体" w:hAnsi="宋体" w:eastAsia="宋体" w:cs="宋体"/>
          <w:sz w:val="28"/>
          <w:szCs w:val="28"/>
          <w:lang w:val="en-US" w:eastAsia="zh-CN"/>
        </w:rPr>
        <w:t>11</w:t>
      </w:r>
      <w:r>
        <w:rPr>
          <w:rFonts w:hint="eastAsia" w:ascii="宋体" w:hAnsi="宋体" w:eastAsia="宋体" w:cs="宋体"/>
          <w:sz w:val="28"/>
          <w:szCs w:val="28"/>
        </w:rPr>
        <w:t>月</w:t>
      </w:r>
      <w:r>
        <w:rPr>
          <w:rFonts w:hint="eastAsia" w:ascii="宋体" w:hAnsi="宋体" w:eastAsia="宋体" w:cs="宋体"/>
          <w:sz w:val="28"/>
          <w:szCs w:val="28"/>
          <w:lang w:val="en-US" w:eastAsia="zh-CN"/>
        </w:rPr>
        <w:t>22</w:t>
      </w:r>
      <w:r>
        <w:rPr>
          <w:rFonts w:hint="eastAsia" w:ascii="宋体" w:hAnsi="宋体" w:eastAsia="宋体" w:cs="宋体"/>
          <w:sz w:val="28"/>
          <w:szCs w:val="28"/>
        </w:rPr>
        <w:t>日</w:t>
      </w:r>
      <w:r>
        <w:rPr>
          <w:rFonts w:hint="eastAsia" w:ascii="宋体" w:hAnsi="宋体" w:eastAsia="宋体" w:cs="宋体"/>
          <w:sz w:val="28"/>
          <w:szCs w:val="28"/>
          <w:lang w:val="en-US" w:eastAsia="zh-CN"/>
        </w:rPr>
        <w:t>-26日</w:t>
      </w:r>
      <w:r>
        <w:rPr>
          <w:rFonts w:hint="eastAsia" w:ascii="宋体" w:hAnsi="宋体" w:eastAsia="宋体" w:cs="宋体"/>
          <w:sz w:val="28"/>
          <w:szCs w:val="28"/>
        </w:rPr>
        <w:t>15：00</w:t>
      </w:r>
    </w:p>
    <w:p w14:paraId="0C728046">
      <w:pPr>
        <w:keepNext w:val="0"/>
        <w:keepLines w:val="0"/>
        <w:pageBreakBefore w:val="0"/>
        <w:widowControl w:val="0"/>
        <w:numPr>
          <w:ilvl w:val="0"/>
          <w:numId w:val="5"/>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地点：广州市天河区广汕一路297号</w:t>
      </w:r>
      <w:r>
        <w:rPr>
          <w:rFonts w:hint="eastAsia" w:ascii="宋体" w:hAnsi="宋体" w:eastAsia="宋体" w:cs="宋体"/>
          <w:sz w:val="28"/>
          <w:szCs w:val="28"/>
          <w:lang w:val="en-US" w:eastAsia="zh-CN"/>
        </w:rPr>
        <w:t>办公楼203室</w:t>
      </w:r>
    </w:p>
    <w:p w14:paraId="0B70A3CF">
      <w:pPr>
        <w:keepNext w:val="0"/>
        <w:keepLines w:val="0"/>
        <w:pageBreakBefore w:val="0"/>
        <w:widowControl w:val="0"/>
        <w:numPr>
          <w:ilvl w:val="0"/>
          <w:numId w:val="5"/>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报名文件密封好送至广东生态工程职业学院保安室或快递至学校（广州市天河区广汕一路297号</w:t>
      </w:r>
      <w:r>
        <w:rPr>
          <w:rFonts w:hint="eastAsia" w:ascii="宋体" w:hAnsi="宋体" w:eastAsia="宋体" w:cs="宋体"/>
          <w:sz w:val="28"/>
          <w:szCs w:val="28"/>
          <w:lang w:val="en-US" w:eastAsia="zh-CN"/>
        </w:rPr>
        <w:t>办公楼203室</w:t>
      </w:r>
      <w:r>
        <w:rPr>
          <w:rFonts w:hint="eastAsia" w:ascii="宋体" w:hAnsi="宋体" w:eastAsia="宋体" w:cs="宋体"/>
          <w:sz w:val="28"/>
          <w:szCs w:val="28"/>
        </w:rPr>
        <w:t>）。</w:t>
      </w:r>
    </w:p>
    <w:p w14:paraId="14D2FD47">
      <w:pPr>
        <w:keepNext w:val="0"/>
        <w:keepLines w:val="0"/>
        <w:pageBreakBefore w:val="0"/>
        <w:widowControl w:val="0"/>
        <w:numPr>
          <w:ilvl w:val="0"/>
          <w:numId w:val="5"/>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联系人：刘老师</w:t>
      </w:r>
    </w:p>
    <w:p w14:paraId="3C27A284">
      <w:pPr>
        <w:keepNext w:val="0"/>
        <w:keepLines w:val="0"/>
        <w:pageBreakBefore w:val="0"/>
        <w:widowControl w:val="0"/>
        <w:numPr>
          <w:ilvl w:val="0"/>
          <w:numId w:val="5"/>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联系方式：19867570340</w:t>
      </w:r>
    </w:p>
    <w:p w14:paraId="271E47EE">
      <w:pPr>
        <w:keepNext w:val="0"/>
        <w:keepLines w:val="0"/>
        <w:pageBreakBefore w:val="0"/>
        <w:widowControl w:val="0"/>
        <w:numPr>
          <w:ilvl w:val="0"/>
          <w:numId w:val="5"/>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需</w:t>
      </w:r>
      <w:r>
        <w:rPr>
          <w:rFonts w:hint="eastAsia" w:ascii="宋体" w:hAnsi="宋体" w:eastAsia="宋体" w:cs="宋体"/>
          <w:sz w:val="28"/>
          <w:szCs w:val="28"/>
          <w:lang w:val="en-US" w:eastAsia="zh-CN"/>
        </w:rPr>
        <w:t>递</w:t>
      </w:r>
      <w:r>
        <w:rPr>
          <w:rFonts w:hint="eastAsia" w:ascii="宋体" w:hAnsi="宋体" w:eastAsia="宋体" w:cs="宋体"/>
          <w:sz w:val="28"/>
          <w:szCs w:val="28"/>
        </w:rPr>
        <w:t>交的资料及要求</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必须密封）：</w:t>
      </w:r>
      <w:bookmarkStart w:id="0" w:name="_GoBack"/>
      <w:bookmarkEnd w:id="0"/>
    </w:p>
    <w:p w14:paraId="5D60CCE2">
      <w:pPr>
        <w:keepNext w:val="0"/>
        <w:keepLines w:val="0"/>
        <w:pageBreakBefore w:val="0"/>
        <w:widowControl w:val="0"/>
        <w:numPr>
          <w:ilvl w:val="0"/>
          <w:numId w:val="6"/>
        </w:numPr>
        <w:kinsoku/>
        <w:wordWrap/>
        <w:overflowPunct/>
        <w:topLinePunct w:val="0"/>
        <w:autoSpaceDE/>
        <w:autoSpaceDN/>
        <w:bidi w:val="0"/>
        <w:adjustRightInd/>
        <w:snapToGrid/>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机构基本资料</w:t>
      </w:r>
    </w:p>
    <w:p w14:paraId="40F3A8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（1）组织机构代码；（2）税务登记证；（3）营业执照或事业单位登记证副本复印件；（4）办学许可证（民办非常学历培训机构）;（5）连续叁年审合格证明。（均加盖公章）</w:t>
      </w:r>
    </w:p>
    <w:p w14:paraId="78C8B7A4">
      <w:pPr>
        <w:keepNext w:val="0"/>
        <w:keepLines w:val="0"/>
        <w:pageBreakBefore w:val="0"/>
        <w:widowControl w:val="0"/>
        <w:numPr>
          <w:ilvl w:val="0"/>
          <w:numId w:val="6"/>
        </w:numPr>
        <w:kinsoku/>
        <w:wordWrap/>
        <w:overflowPunct/>
        <w:topLinePunct w:val="0"/>
        <w:autoSpaceDE/>
        <w:autoSpaceDN/>
        <w:bidi w:val="0"/>
        <w:adjustRightInd/>
        <w:snapToGrid/>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针对本校的服务方案、按评分表（</w:t>
      </w:r>
      <w:r>
        <w:rPr>
          <w:rFonts w:hint="eastAsia" w:ascii="宋体" w:hAnsi="宋体" w:eastAsia="宋体" w:cs="宋体"/>
          <w:sz w:val="28"/>
          <w:szCs w:val="28"/>
          <w:lang w:val="en-US" w:eastAsia="zh-CN"/>
        </w:rPr>
        <w:t>附件1）</w:t>
      </w:r>
      <w:r>
        <w:rPr>
          <w:rFonts w:hint="eastAsia" w:ascii="宋体" w:hAnsi="宋体" w:eastAsia="宋体" w:cs="宋体"/>
          <w:sz w:val="28"/>
          <w:szCs w:val="28"/>
        </w:rPr>
        <w:t>自备材料</w:t>
      </w:r>
      <w:r>
        <w:rPr>
          <w:rFonts w:hint="eastAsia" w:ascii="宋体" w:hAnsi="宋体" w:eastAsia="宋体" w:cs="宋体"/>
          <w:b/>
          <w:bCs/>
          <w:sz w:val="28"/>
          <w:szCs w:val="28"/>
          <w:lang w:val="en-US" w:eastAsia="zh-CN"/>
        </w:rPr>
        <w:t>且进行自评，投标时一并提交自评的评分表。</w:t>
      </w:r>
      <w:r>
        <w:rPr>
          <w:rFonts w:hint="eastAsia" w:ascii="宋体" w:hAnsi="宋体" w:eastAsia="宋体" w:cs="宋体"/>
          <w:sz w:val="28"/>
          <w:szCs w:val="28"/>
          <w:lang w:val="en-US" w:eastAsia="zh-CN"/>
        </w:rPr>
        <w:t>响应文件</w:t>
      </w:r>
      <w:r>
        <w:rPr>
          <w:rFonts w:hint="eastAsia" w:ascii="宋体" w:hAnsi="宋体" w:eastAsia="宋体" w:cs="宋体"/>
          <w:sz w:val="28"/>
          <w:szCs w:val="28"/>
        </w:rPr>
        <w:t>一式7份</w:t>
      </w:r>
      <w:r>
        <w:rPr>
          <w:rFonts w:hint="eastAsia" w:ascii="宋体" w:hAnsi="宋体" w:eastAsia="宋体" w:cs="宋体"/>
          <w:sz w:val="28"/>
          <w:szCs w:val="28"/>
          <w:lang w:eastAsia="zh-CN"/>
        </w:rPr>
        <w:t>。（</w:t>
      </w:r>
      <w:r>
        <w:rPr>
          <w:rFonts w:hint="eastAsia" w:ascii="宋体" w:hAnsi="宋体" w:eastAsia="宋体" w:cs="宋体"/>
          <w:sz w:val="28"/>
          <w:szCs w:val="28"/>
        </w:rPr>
        <w:t>加盖公章</w:t>
      </w:r>
      <w:r>
        <w:rPr>
          <w:rFonts w:hint="eastAsia" w:ascii="宋体" w:hAnsi="宋体" w:eastAsia="宋体" w:cs="宋体"/>
          <w:sz w:val="28"/>
          <w:szCs w:val="28"/>
          <w:lang w:eastAsia="zh-CN"/>
        </w:rPr>
        <w:t>）</w:t>
      </w:r>
    </w:p>
    <w:p w14:paraId="3881B128">
      <w:pPr>
        <w:keepNext w:val="0"/>
        <w:keepLines w:val="0"/>
        <w:pageBreakBefore w:val="0"/>
        <w:widowControl w:val="0"/>
        <w:numPr>
          <w:ilvl w:val="0"/>
          <w:numId w:val="6"/>
        </w:numPr>
        <w:kinsoku/>
        <w:wordWrap/>
        <w:overflowPunct/>
        <w:topLinePunct w:val="0"/>
        <w:autoSpaceDE/>
        <w:autoSpaceDN/>
        <w:bidi w:val="0"/>
        <w:adjustRightInd/>
        <w:snapToGrid/>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其它能佐证本机构实力的相关资料。（加盖公章）</w:t>
      </w:r>
    </w:p>
    <w:p w14:paraId="2A215017">
      <w:pPr>
        <w:keepNext w:val="0"/>
        <w:keepLines w:val="0"/>
        <w:pageBreakBefore w:val="0"/>
        <w:widowControl w:val="0"/>
        <w:numPr>
          <w:ilvl w:val="0"/>
          <w:numId w:val="6"/>
        </w:numPr>
        <w:kinsoku/>
        <w:wordWrap/>
        <w:overflowPunct/>
        <w:topLinePunct w:val="0"/>
        <w:autoSpaceDE/>
        <w:autoSpaceDN/>
        <w:bidi w:val="0"/>
        <w:adjustRightInd/>
        <w:snapToGrid/>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第三方服务机构必须承诺与天河区的学校合作开展校内课后服务不超过8间。（承诺函加盖公章）</w:t>
      </w:r>
    </w:p>
    <w:p w14:paraId="430BB0B6">
      <w:pPr>
        <w:keepNext w:val="0"/>
        <w:keepLines w:val="0"/>
        <w:pageBreakBefore w:val="0"/>
        <w:widowControl w:val="0"/>
        <w:numPr>
          <w:ilvl w:val="0"/>
          <w:numId w:val="6"/>
        </w:numPr>
        <w:kinsoku/>
        <w:wordWrap/>
        <w:overflowPunct/>
        <w:topLinePunct w:val="0"/>
        <w:autoSpaceDE/>
        <w:autoSpaceDN/>
        <w:bidi w:val="0"/>
        <w:adjustRightInd/>
        <w:snapToGrid/>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法定代表人证明书复印件并有公司盖章、法定代表人签名的授权委托书</w:t>
      </w:r>
      <w:r>
        <w:rPr>
          <w:rFonts w:hint="eastAsia" w:ascii="宋体" w:hAnsi="宋体" w:eastAsia="宋体" w:cs="宋体"/>
          <w:sz w:val="28"/>
          <w:szCs w:val="28"/>
          <w:lang w:eastAsia="zh-CN"/>
        </w:rPr>
        <w:t>。</w:t>
      </w:r>
    </w:p>
    <w:p w14:paraId="78F25FFC">
      <w:pPr>
        <w:numPr>
          <w:ilvl w:val="0"/>
          <w:numId w:val="1"/>
        </w:numPr>
        <w:rPr>
          <w:rFonts w:hint="eastAsia" w:ascii="宋体" w:hAnsi="宋体" w:eastAsia="宋体" w:cs="宋体"/>
          <w:b/>
          <w:bCs/>
          <w:sz w:val="28"/>
          <w:szCs w:val="28"/>
        </w:rPr>
      </w:pPr>
      <w:r>
        <w:rPr>
          <w:rFonts w:hint="eastAsia" w:ascii="宋体" w:hAnsi="宋体" w:eastAsia="宋体" w:cs="宋体"/>
          <w:b/>
          <w:bCs/>
          <w:sz w:val="28"/>
          <w:szCs w:val="28"/>
        </w:rPr>
        <w:t>议标、评标时间、地点及注意事项</w:t>
      </w:r>
    </w:p>
    <w:p w14:paraId="164754F5">
      <w:pPr>
        <w:keepNext w:val="0"/>
        <w:keepLines w:val="0"/>
        <w:pageBreakBefore w:val="0"/>
        <w:widowControl w:val="0"/>
        <w:numPr>
          <w:ilvl w:val="0"/>
          <w:numId w:val="7"/>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时间：202</w:t>
      </w:r>
      <w:r>
        <w:rPr>
          <w:rFonts w:hint="eastAsia" w:ascii="宋体" w:hAnsi="宋体" w:eastAsia="宋体" w:cs="宋体"/>
          <w:sz w:val="28"/>
          <w:szCs w:val="28"/>
          <w:lang w:val="en-US" w:eastAsia="zh-CN"/>
        </w:rPr>
        <w:t>4</w:t>
      </w:r>
      <w:r>
        <w:rPr>
          <w:rFonts w:hint="eastAsia" w:ascii="宋体" w:hAnsi="宋体" w:eastAsia="宋体" w:cs="宋体"/>
          <w:sz w:val="28"/>
          <w:szCs w:val="28"/>
        </w:rPr>
        <w:t>年</w:t>
      </w:r>
      <w:r>
        <w:rPr>
          <w:rFonts w:hint="eastAsia" w:ascii="宋体" w:hAnsi="宋体" w:eastAsia="宋体" w:cs="宋体"/>
          <w:sz w:val="28"/>
          <w:szCs w:val="28"/>
          <w:lang w:val="en-US" w:eastAsia="zh-CN"/>
        </w:rPr>
        <w:t>11</w:t>
      </w:r>
      <w:r>
        <w:rPr>
          <w:rFonts w:hint="eastAsia" w:ascii="宋体" w:hAnsi="宋体" w:eastAsia="宋体" w:cs="宋体"/>
          <w:sz w:val="28"/>
          <w:szCs w:val="28"/>
        </w:rPr>
        <w:t>月</w:t>
      </w:r>
      <w:r>
        <w:rPr>
          <w:rFonts w:hint="eastAsia" w:ascii="宋体" w:hAnsi="宋体" w:eastAsia="宋体" w:cs="宋体"/>
          <w:sz w:val="28"/>
          <w:szCs w:val="28"/>
          <w:lang w:val="en-US" w:eastAsia="zh-CN"/>
        </w:rPr>
        <w:t>26</w:t>
      </w:r>
      <w:r>
        <w:rPr>
          <w:rFonts w:hint="eastAsia" w:ascii="宋体" w:hAnsi="宋体" w:eastAsia="宋体" w:cs="宋体"/>
          <w:sz w:val="28"/>
          <w:szCs w:val="28"/>
        </w:rPr>
        <w:t>日（周</w:t>
      </w:r>
      <w:r>
        <w:rPr>
          <w:rFonts w:hint="eastAsia" w:ascii="宋体" w:hAnsi="宋体" w:eastAsia="宋体" w:cs="宋体"/>
          <w:sz w:val="28"/>
          <w:szCs w:val="28"/>
          <w:lang w:val="en-US" w:eastAsia="zh-CN"/>
        </w:rPr>
        <w:t>二</w:t>
      </w:r>
      <w:r>
        <w:rPr>
          <w:rFonts w:hint="eastAsia" w:ascii="宋体" w:hAnsi="宋体" w:eastAsia="宋体" w:cs="宋体"/>
          <w:sz w:val="28"/>
          <w:szCs w:val="28"/>
        </w:rPr>
        <w:t>）15:00</w:t>
      </w:r>
    </w:p>
    <w:p w14:paraId="722E3F24">
      <w:pPr>
        <w:keepNext w:val="0"/>
        <w:keepLines w:val="0"/>
        <w:pageBreakBefore w:val="0"/>
        <w:widowControl w:val="0"/>
        <w:numPr>
          <w:ilvl w:val="0"/>
          <w:numId w:val="7"/>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地点：广州市天河区广汕一路297号</w:t>
      </w:r>
    </w:p>
    <w:p w14:paraId="5889A322">
      <w:pPr>
        <w:keepNext w:val="0"/>
        <w:keepLines w:val="0"/>
        <w:pageBreakBefore w:val="0"/>
        <w:widowControl w:val="0"/>
        <w:numPr>
          <w:ilvl w:val="0"/>
          <w:numId w:val="7"/>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考评小组（由附属小学行政、教师和家长代表组成，其中家长不少于50%）将现场拆封机构递交的材料，</w:t>
      </w:r>
      <w:r>
        <w:rPr>
          <w:rFonts w:hint="eastAsia" w:ascii="宋体" w:hAnsi="宋体" w:eastAsia="宋体" w:cs="宋体"/>
          <w:sz w:val="28"/>
          <w:szCs w:val="28"/>
          <w:lang w:val="en-US" w:eastAsia="zh-CN"/>
        </w:rPr>
        <w:t>从</w:t>
      </w:r>
      <w:r>
        <w:rPr>
          <w:rFonts w:hint="eastAsia" w:ascii="宋体" w:hAnsi="宋体" w:eastAsia="宋体" w:cs="宋体"/>
          <w:sz w:val="28"/>
          <w:szCs w:val="28"/>
        </w:rPr>
        <w:t>资质、管理能力、师资力量、办学经验、社会信誉度、资金投入、收费合理性、开办方案、资料齐备等</w:t>
      </w:r>
      <w:r>
        <w:rPr>
          <w:rFonts w:hint="eastAsia" w:ascii="宋体" w:hAnsi="宋体" w:eastAsia="宋体" w:cs="宋体"/>
          <w:sz w:val="28"/>
          <w:szCs w:val="28"/>
          <w:lang w:val="en-US" w:eastAsia="zh-CN"/>
        </w:rPr>
        <w:t>方面综合考虑，</w:t>
      </w:r>
      <w:r>
        <w:rPr>
          <w:rFonts w:hint="eastAsia" w:ascii="宋体" w:hAnsi="宋体" w:eastAsia="宋体" w:cs="宋体"/>
          <w:sz w:val="28"/>
          <w:szCs w:val="28"/>
        </w:rPr>
        <w:t>遴选确定一家中标供应商。招标结果报学校招标工作领导小组审核。</w:t>
      </w:r>
    </w:p>
    <w:p w14:paraId="427AE9E6">
      <w:pPr>
        <w:keepNext w:val="0"/>
        <w:keepLines w:val="0"/>
        <w:pageBreakBefore w:val="0"/>
        <w:widowControl w:val="0"/>
        <w:numPr>
          <w:ilvl w:val="0"/>
          <w:numId w:val="7"/>
        </w:numPr>
        <w:kinsoku/>
        <w:wordWrap/>
        <w:overflowPunct/>
        <w:topLinePunct w:val="0"/>
        <w:autoSpaceDE/>
        <w:autoSpaceDN/>
        <w:bidi w:val="0"/>
        <w:adjustRightInd/>
        <w:snapToGrid/>
        <w:ind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不进行第三方机构现场演讲、答疑，</w:t>
      </w:r>
      <w:r>
        <w:rPr>
          <w:rFonts w:hint="eastAsia" w:ascii="宋体" w:hAnsi="宋体" w:eastAsia="宋体" w:cs="宋体"/>
          <w:sz w:val="28"/>
          <w:szCs w:val="28"/>
        </w:rPr>
        <w:t>由考评小组对本次投标第三方机构的资质等资料进行议标、评标、打分。</w:t>
      </w:r>
    </w:p>
    <w:p w14:paraId="27719302">
      <w:pPr>
        <w:numPr>
          <w:ilvl w:val="0"/>
          <w:numId w:val="1"/>
        </w:numPr>
        <w:rPr>
          <w:rFonts w:hint="eastAsia" w:ascii="宋体" w:hAnsi="宋体" w:eastAsia="宋体" w:cs="宋体"/>
          <w:b/>
          <w:bCs/>
          <w:sz w:val="28"/>
          <w:szCs w:val="28"/>
        </w:rPr>
      </w:pPr>
      <w:r>
        <w:rPr>
          <w:rFonts w:hint="eastAsia" w:ascii="宋体" w:hAnsi="宋体" w:eastAsia="宋体" w:cs="宋体"/>
          <w:b/>
          <w:bCs/>
          <w:sz w:val="28"/>
          <w:szCs w:val="28"/>
        </w:rPr>
        <w:t>公示中标结果时间和地点（只公示排名第一的中标人）</w:t>
      </w:r>
    </w:p>
    <w:p w14:paraId="6C4BAAFA">
      <w:pPr>
        <w:keepNext w:val="0"/>
        <w:keepLines w:val="0"/>
        <w:pageBreakBefore w:val="0"/>
        <w:widowControl w:val="0"/>
        <w:numPr>
          <w:ilvl w:val="0"/>
          <w:numId w:val="8"/>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时间：202</w:t>
      </w:r>
      <w:r>
        <w:rPr>
          <w:rFonts w:hint="eastAsia" w:ascii="宋体" w:hAnsi="宋体" w:eastAsia="宋体" w:cs="宋体"/>
          <w:sz w:val="28"/>
          <w:szCs w:val="28"/>
          <w:lang w:val="en-US" w:eastAsia="zh-CN"/>
        </w:rPr>
        <w:t>4</w:t>
      </w:r>
      <w:r>
        <w:rPr>
          <w:rFonts w:hint="eastAsia" w:ascii="宋体" w:hAnsi="宋体" w:eastAsia="宋体" w:cs="宋体"/>
          <w:sz w:val="28"/>
          <w:szCs w:val="28"/>
        </w:rPr>
        <w:t>年</w:t>
      </w:r>
      <w:r>
        <w:rPr>
          <w:rFonts w:hint="eastAsia" w:ascii="宋体" w:hAnsi="宋体" w:eastAsia="宋体" w:cs="宋体"/>
          <w:sz w:val="28"/>
          <w:szCs w:val="28"/>
          <w:lang w:val="en-US" w:eastAsia="zh-CN"/>
        </w:rPr>
        <w:t>11</w:t>
      </w:r>
      <w:r>
        <w:rPr>
          <w:rFonts w:hint="eastAsia" w:ascii="宋体" w:hAnsi="宋体" w:eastAsia="宋体" w:cs="宋体"/>
          <w:sz w:val="28"/>
          <w:szCs w:val="28"/>
        </w:rPr>
        <w:t>月</w:t>
      </w:r>
      <w:r>
        <w:rPr>
          <w:rFonts w:hint="eastAsia" w:ascii="宋体" w:hAnsi="宋体" w:eastAsia="宋体" w:cs="宋体"/>
          <w:sz w:val="28"/>
          <w:szCs w:val="28"/>
          <w:lang w:val="en-US" w:eastAsia="zh-CN"/>
        </w:rPr>
        <w:t>28</w:t>
      </w:r>
      <w:r>
        <w:rPr>
          <w:rFonts w:hint="eastAsia" w:ascii="宋体" w:hAnsi="宋体" w:eastAsia="宋体" w:cs="宋体"/>
          <w:sz w:val="28"/>
          <w:szCs w:val="28"/>
        </w:rPr>
        <w:t>日——202</w:t>
      </w:r>
      <w:r>
        <w:rPr>
          <w:rFonts w:hint="eastAsia" w:ascii="宋体" w:hAnsi="宋体" w:eastAsia="宋体" w:cs="宋体"/>
          <w:sz w:val="28"/>
          <w:szCs w:val="28"/>
          <w:lang w:val="en-US" w:eastAsia="zh-CN"/>
        </w:rPr>
        <w:t>4</w:t>
      </w:r>
      <w:r>
        <w:rPr>
          <w:rFonts w:hint="eastAsia" w:ascii="宋体" w:hAnsi="宋体" w:eastAsia="宋体" w:cs="宋体"/>
          <w:sz w:val="28"/>
          <w:szCs w:val="28"/>
        </w:rPr>
        <w:t>年</w:t>
      </w:r>
      <w:r>
        <w:rPr>
          <w:rFonts w:hint="eastAsia" w:ascii="宋体" w:hAnsi="宋体" w:eastAsia="宋体" w:cs="宋体"/>
          <w:sz w:val="28"/>
          <w:szCs w:val="28"/>
          <w:lang w:val="en-US" w:eastAsia="zh-CN"/>
        </w:rPr>
        <w:t>12</w:t>
      </w:r>
      <w:r>
        <w:rPr>
          <w:rFonts w:hint="eastAsia" w:ascii="宋体" w:hAnsi="宋体" w:eastAsia="宋体" w:cs="宋体"/>
          <w:sz w:val="28"/>
          <w:szCs w:val="28"/>
        </w:rPr>
        <w:t>月</w:t>
      </w:r>
      <w:r>
        <w:rPr>
          <w:rFonts w:hint="eastAsia" w:ascii="宋体" w:hAnsi="宋体" w:eastAsia="宋体" w:cs="宋体"/>
          <w:sz w:val="28"/>
          <w:szCs w:val="28"/>
          <w:lang w:val="en-US" w:eastAsia="zh-CN"/>
        </w:rPr>
        <w:t>2</w:t>
      </w:r>
      <w:r>
        <w:rPr>
          <w:rFonts w:hint="eastAsia" w:ascii="宋体" w:hAnsi="宋体" w:eastAsia="宋体" w:cs="宋体"/>
          <w:sz w:val="28"/>
          <w:szCs w:val="28"/>
        </w:rPr>
        <w:t>日</w:t>
      </w:r>
    </w:p>
    <w:p w14:paraId="48E2E706">
      <w:pPr>
        <w:keepNext w:val="0"/>
        <w:keepLines w:val="0"/>
        <w:pageBreakBefore w:val="0"/>
        <w:widowControl w:val="0"/>
        <w:numPr>
          <w:ilvl w:val="0"/>
          <w:numId w:val="8"/>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地点：学校</w:t>
      </w:r>
      <w:r>
        <w:rPr>
          <w:rFonts w:hint="eastAsia" w:ascii="宋体" w:hAnsi="宋体" w:eastAsia="宋体" w:cs="宋体"/>
          <w:sz w:val="28"/>
          <w:szCs w:val="28"/>
          <w:lang w:val="en-US" w:eastAsia="zh-CN"/>
        </w:rPr>
        <w:t>网站</w:t>
      </w:r>
      <w:r>
        <w:rPr>
          <w:rFonts w:hint="eastAsia" w:ascii="宋体" w:hAnsi="宋体" w:eastAsia="宋体" w:cs="宋体"/>
          <w:sz w:val="28"/>
          <w:szCs w:val="28"/>
        </w:rPr>
        <w:t>招标采购公告</w:t>
      </w:r>
      <w:r>
        <w:rPr>
          <w:rFonts w:hint="eastAsia" w:ascii="宋体" w:hAnsi="宋体" w:eastAsia="宋体" w:cs="宋体"/>
          <w:sz w:val="28"/>
          <w:szCs w:val="28"/>
          <w:lang w:val="en-US" w:eastAsia="zh-CN"/>
        </w:rPr>
        <w:t>栏</w:t>
      </w:r>
    </w:p>
    <w:p w14:paraId="24E06E12">
      <w:pPr>
        <w:numPr>
          <w:ilvl w:val="0"/>
          <w:numId w:val="1"/>
        </w:numPr>
        <w:rPr>
          <w:rFonts w:hint="eastAsia" w:ascii="宋体" w:hAnsi="宋体" w:eastAsia="宋体" w:cs="宋体"/>
          <w:b/>
          <w:bCs/>
          <w:sz w:val="28"/>
          <w:szCs w:val="28"/>
        </w:rPr>
      </w:pPr>
      <w:r>
        <w:rPr>
          <w:rFonts w:hint="eastAsia" w:ascii="宋体" w:hAnsi="宋体" w:eastAsia="宋体" w:cs="宋体"/>
          <w:b/>
          <w:bCs/>
          <w:sz w:val="28"/>
          <w:szCs w:val="28"/>
        </w:rPr>
        <w:t>合同签订时间</w:t>
      </w:r>
    </w:p>
    <w:p w14:paraId="36121A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202</w:t>
      </w:r>
      <w:r>
        <w:rPr>
          <w:rFonts w:hint="eastAsia" w:ascii="宋体" w:hAnsi="宋体" w:eastAsia="宋体" w:cs="宋体"/>
          <w:sz w:val="28"/>
          <w:szCs w:val="28"/>
          <w:lang w:val="en-US" w:eastAsia="zh-CN"/>
        </w:rPr>
        <w:t>4</w:t>
      </w:r>
      <w:r>
        <w:rPr>
          <w:rFonts w:hint="eastAsia" w:ascii="宋体" w:hAnsi="宋体" w:eastAsia="宋体" w:cs="宋体"/>
          <w:sz w:val="28"/>
          <w:szCs w:val="28"/>
        </w:rPr>
        <w:t>年</w:t>
      </w:r>
      <w:r>
        <w:rPr>
          <w:rFonts w:hint="eastAsia" w:ascii="宋体" w:hAnsi="宋体" w:eastAsia="宋体" w:cs="宋体"/>
          <w:sz w:val="28"/>
          <w:szCs w:val="28"/>
          <w:lang w:val="en-US" w:eastAsia="zh-CN"/>
        </w:rPr>
        <w:t>12</w:t>
      </w:r>
      <w:r>
        <w:rPr>
          <w:rFonts w:hint="eastAsia" w:ascii="宋体" w:hAnsi="宋体" w:eastAsia="宋体" w:cs="宋体"/>
          <w:sz w:val="28"/>
          <w:szCs w:val="28"/>
        </w:rPr>
        <w:t>月3</w:t>
      </w:r>
      <w:r>
        <w:rPr>
          <w:rFonts w:hint="eastAsia" w:ascii="宋体" w:hAnsi="宋体" w:eastAsia="宋体" w:cs="宋体"/>
          <w:sz w:val="28"/>
          <w:szCs w:val="28"/>
          <w:lang w:val="en-US" w:eastAsia="zh-CN"/>
        </w:rPr>
        <w:t>1</w:t>
      </w:r>
      <w:r>
        <w:rPr>
          <w:rFonts w:hint="eastAsia" w:ascii="宋体" w:hAnsi="宋体" w:eastAsia="宋体" w:cs="宋体"/>
          <w:sz w:val="28"/>
          <w:szCs w:val="28"/>
        </w:rPr>
        <w:t>日前</w:t>
      </w:r>
    </w:p>
    <w:p w14:paraId="47377234">
      <w:pPr>
        <w:numPr>
          <w:ilvl w:val="0"/>
          <w:numId w:val="1"/>
        </w:numPr>
        <w:rPr>
          <w:rFonts w:hint="eastAsia" w:ascii="宋体" w:hAnsi="宋体" w:eastAsia="宋体" w:cs="宋体"/>
          <w:b/>
          <w:bCs/>
          <w:sz w:val="28"/>
          <w:szCs w:val="28"/>
        </w:rPr>
      </w:pPr>
      <w:r>
        <w:rPr>
          <w:rFonts w:hint="eastAsia" w:ascii="宋体" w:hAnsi="宋体" w:eastAsia="宋体" w:cs="宋体"/>
          <w:b/>
          <w:bCs/>
          <w:sz w:val="28"/>
          <w:szCs w:val="28"/>
        </w:rPr>
        <w:t>经营期限</w:t>
      </w:r>
    </w:p>
    <w:p w14:paraId="114795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一年为一服务周期，具体以学生在校学习的校历为准,服务合同一年一签；</w:t>
      </w:r>
      <w:r>
        <w:rPr>
          <w:rFonts w:hint="eastAsia" w:ascii="宋体" w:hAnsi="宋体" w:eastAsia="宋体" w:cs="宋体"/>
          <w:sz w:val="28"/>
          <w:szCs w:val="28"/>
          <w:lang w:val="en-US" w:eastAsia="zh-CN"/>
        </w:rPr>
        <w:t>若</w:t>
      </w:r>
      <w:r>
        <w:rPr>
          <w:rFonts w:hint="eastAsia" w:ascii="宋体" w:hAnsi="宋体" w:eastAsia="宋体" w:cs="宋体"/>
          <w:sz w:val="28"/>
          <w:szCs w:val="28"/>
        </w:rPr>
        <w:t>服务质量好，符合天河区教育局综合满意度调查满意度高于80%的可以续签。</w:t>
      </w:r>
    </w:p>
    <w:p w14:paraId="46246B8F">
      <w:pPr>
        <w:numPr>
          <w:ilvl w:val="0"/>
          <w:numId w:val="1"/>
        </w:numPr>
        <w:rPr>
          <w:rFonts w:hint="eastAsia" w:ascii="宋体" w:hAnsi="宋体" w:eastAsia="宋体" w:cs="宋体"/>
          <w:b/>
          <w:bCs/>
          <w:sz w:val="28"/>
          <w:szCs w:val="28"/>
        </w:rPr>
      </w:pPr>
      <w:r>
        <w:rPr>
          <w:rFonts w:hint="eastAsia" w:ascii="宋体" w:hAnsi="宋体" w:eastAsia="宋体" w:cs="宋体"/>
          <w:b/>
          <w:bCs/>
          <w:sz w:val="28"/>
          <w:szCs w:val="28"/>
        </w:rPr>
        <w:t>退出机制</w:t>
      </w:r>
    </w:p>
    <w:p w14:paraId="33D2DF6E">
      <w:pPr>
        <w:keepNext w:val="0"/>
        <w:keepLines w:val="0"/>
        <w:pageBreakBefore w:val="0"/>
        <w:widowControl w:val="0"/>
        <w:numPr>
          <w:ilvl w:val="0"/>
          <w:numId w:val="9"/>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凡出现以下情况，学校可终止与第三方机构的托管服务</w:t>
      </w:r>
    </w:p>
    <w:p w14:paraId="06311484">
      <w:pPr>
        <w:keepNext w:val="0"/>
        <w:keepLines w:val="0"/>
        <w:pageBreakBefore w:val="0"/>
        <w:widowControl w:val="0"/>
        <w:numPr>
          <w:ilvl w:val="0"/>
          <w:numId w:val="10"/>
        </w:numPr>
        <w:kinsoku/>
        <w:wordWrap/>
        <w:overflowPunct/>
        <w:topLinePunct w:val="0"/>
        <w:autoSpaceDE/>
        <w:autoSpaceDN/>
        <w:bidi w:val="0"/>
        <w:adjustRightInd/>
        <w:snapToGrid/>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提供虚假资质的</w:t>
      </w:r>
      <w:r>
        <w:rPr>
          <w:rFonts w:hint="eastAsia" w:ascii="宋体" w:hAnsi="宋体" w:eastAsia="宋体" w:cs="宋体"/>
          <w:sz w:val="28"/>
          <w:szCs w:val="28"/>
          <w:lang w:eastAsia="zh-CN"/>
        </w:rPr>
        <w:t>；</w:t>
      </w:r>
    </w:p>
    <w:p w14:paraId="704080E3">
      <w:pPr>
        <w:keepNext w:val="0"/>
        <w:keepLines w:val="0"/>
        <w:pageBreakBefore w:val="0"/>
        <w:widowControl w:val="0"/>
        <w:numPr>
          <w:ilvl w:val="0"/>
          <w:numId w:val="10"/>
        </w:numPr>
        <w:kinsoku/>
        <w:wordWrap/>
        <w:overflowPunct/>
        <w:topLinePunct w:val="0"/>
        <w:autoSpaceDE/>
        <w:autoSpaceDN/>
        <w:bidi w:val="0"/>
        <w:adjustRightInd/>
        <w:snapToGrid/>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托管服务出现较大管理过失（由本校认定或有关部门认定）</w:t>
      </w:r>
      <w:r>
        <w:rPr>
          <w:rFonts w:hint="eastAsia" w:ascii="宋体" w:hAnsi="宋体" w:eastAsia="宋体" w:cs="宋体"/>
          <w:sz w:val="28"/>
          <w:szCs w:val="28"/>
          <w:lang w:val="en-US" w:eastAsia="zh-CN"/>
        </w:rPr>
        <w:t>的</w:t>
      </w:r>
      <w:r>
        <w:rPr>
          <w:rFonts w:hint="eastAsia" w:ascii="宋体" w:hAnsi="宋体" w:eastAsia="宋体" w:cs="宋体"/>
          <w:sz w:val="28"/>
          <w:szCs w:val="28"/>
          <w:lang w:eastAsia="zh-CN"/>
        </w:rPr>
        <w:t>；</w:t>
      </w:r>
    </w:p>
    <w:p w14:paraId="6425231E">
      <w:pPr>
        <w:keepNext w:val="0"/>
        <w:keepLines w:val="0"/>
        <w:pageBreakBefore w:val="0"/>
        <w:widowControl w:val="0"/>
        <w:numPr>
          <w:ilvl w:val="0"/>
          <w:numId w:val="10"/>
        </w:numPr>
        <w:kinsoku/>
        <w:wordWrap/>
        <w:overflowPunct/>
        <w:topLinePunct w:val="0"/>
        <w:autoSpaceDE/>
        <w:autoSpaceDN/>
        <w:bidi w:val="0"/>
        <w:adjustRightInd/>
        <w:snapToGrid/>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服务质量、内容与承诺明显不符的</w:t>
      </w:r>
      <w:r>
        <w:rPr>
          <w:rFonts w:hint="eastAsia" w:ascii="宋体" w:hAnsi="宋体" w:eastAsia="宋体" w:cs="宋体"/>
          <w:sz w:val="28"/>
          <w:szCs w:val="28"/>
          <w:lang w:eastAsia="zh-CN"/>
        </w:rPr>
        <w:t>；</w:t>
      </w:r>
    </w:p>
    <w:p w14:paraId="0752A221">
      <w:pPr>
        <w:keepNext w:val="0"/>
        <w:keepLines w:val="0"/>
        <w:pageBreakBefore w:val="0"/>
        <w:widowControl w:val="0"/>
        <w:numPr>
          <w:ilvl w:val="0"/>
          <w:numId w:val="10"/>
        </w:numPr>
        <w:kinsoku/>
        <w:wordWrap/>
        <w:overflowPunct/>
        <w:topLinePunct w:val="0"/>
        <w:autoSpaceDE/>
        <w:autoSpaceDN/>
        <w:bidi w:val="0"/>
        <w:adjustRightInd/>
        <w:snapToGrid/>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年审有不良记录的</w:t>
      </w:r>
      <w:r>
        <w:rPr>
          <w:rFonts w:hint="eastAsia" w:ascii="宋体" w:hAnsi="宋体" w:eastAsia="宋体" w:cs="宋体"/>
          <w:sz w:val="28"/>
          <w:szCs w:val="28"/>
          <w:lang w:eastAsia="zh-CN"/>
        </w:rPr>
        <w:t>；</w:t>
      </w:r>
    </w:p>
    <w:p w14:paraId="354D0CD5">
      <w:pPr>
        <w:keepNext w:val="0"/>
        <w:keepLines w:val="0"/>
        <w:pageBreakBefore w:val="0"/>
        <w:widowControl w:val="0"/>
        <w:numPr>
          <w:ilvl w:val="0"/>
          <w:numId w:val="10"/>
        </w:numPr>
        <w:kinsoku/>
        <w:wordWrap/>
        <w:overflowPunct/>
        <w:topLinePunct w:val="0"/>
        <w:autoSpaceDE/>
        <w:autoSpaceDN/>
        <w:bidi w:val="0"/>
        <w:adjustRightInd/>
        <w:snapToGrid/>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把学校托管服务分包转包给其他机构的</w:t>
      </w:r>
      <w:r>
        <w:rPr>
          <w:rFonts w:hint="eastAsia" w:ascii="宋体" w:hAnsi="宋体" w:eastAsia="宋体" w:cs="宋体"/>
          <w:sz w:val="28"/>
          <w:szCs w:val="28"/>
          <w:lang w:eastAsia="zh-CN"/>
        </w:rPr>
        <w:t>；</w:t>
      </w:r>
    </w:p>
    <w:p w14:paraId="01EDF60A">
      <w:pPr>
        <w:keepNext w:val="0"/>
        <w:keepLines w:val="0"/>
        <w:pageBreakBefore w:val="0"/>
        <w:widowControl w:val="0"/>
        <w:numPr>
          <w:ilvl w:val="0"/>
          <w:numId w:val="10"/>
        </w:numPr>
        <w:kinsoku/>
        <w:wordWrap/>
        <w:overflowPunct/>
        <w:topLinePunct w:val="0"/>
        <w:autoSpaceDE/>
        <w:autoSpaceDN/>
        <w:bidi w:val="0"/>
        <w:adjustRightInd/>
        <w:snapToGrid/>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综合满意度低于80%的。</w:t>
      </w:r>
    </w:p>
    <w:p w14:paraId="5214D197">
      <w:pPr>
        <w:keepNext w:val="0"/>
        <w:keepLines w:val="0"/>
        <w:pageBreakBefore w:val="0"/>
        <w:widowControl w:val="0"/>
        <w:numPr>
          <w:ilvl w:val="0"/>
          <w:numId w:val="9"/>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因出现退出机制里的第一到第五条，而被学校终止合作的第三方机构，均递交“天河区门户网站”公示，且三年内不纳入天河区学校课后托管服务选择。若发生重大安全事故或有损学校声誉的，合同立即终止，并追究相关人员法律责任。</w:t>
      </w:r>
    </w:p>
    <w:p w14:paraId="6F45C3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本公告解释权属广东生态工程职业学院。</w:t>
      </w:r>
    </w:p>
    <w:p w14:paraId="28DF0C9D">
      <w:pPr>
        <w:rPr>
          <w:rFonts w:hint="eastAsia" w:ascii="宋体" w:hAnsi="宋体" w:eastAsia="宋体" w:cs="宋体"/>
          <w:sz w:val="28"/>
          <w:szCs w:val="28"/>
        </w:rPr>
      </w:pPr>
    </w:p>
    <w:p w14:paraId="6213BC84">
      <w:pP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附件1：课后服务素质课程第三方机构比选评分表</w:t>
      </w:r>
    </w:p>
    <w:p w14:paraId="38E517C3">
      <w:pPr>
        <w:jc w:val="right"/>
        <w:rPr>
          <w:rFonts w:hint="eastAsia" w:ascii="宋体" w:hAnsi="宋体" w:eastAsia="宋体" w:cs="宋体"/>
          <w:sz w:val="28"/>
          <w:szCs w:val="28"/>
        </w:rPr>
      </w:pPr>
      <w:r>
        <w:rPr>
          <w:rFonts w:hint="eastAsia" w:ascii="宋体" w:hAnsi="宋体" w:eastAsia="宋体" w:cs="宋体"/>
          <w:sz w:val="28"/>
          <w:szCs w:val="28"/>
        </w:rPr>
        <w:t>                        </w:t>
      </w:r>
    </w:p>
    <w:p w14:paraId="676C68AD">
      <w:pPr>
        <w:jc w:val="right"/>
        <w:rPr>
          <w:rFonts w:hint="eastAsia" w:ascii="宋体" w:hAnsi="宋体" w:eastAsia="宋体" w:cs="宋体"/>
          <w:sz w:val="28"/>
          <w:szCs w:val="28"/>
        </w:rPr>
      </w:pPr>
    </w:p>
    <w:p w14:paraId="6A463079">
      <w:pPr>
        <w:jc w:val="right"/>
        <w:rPr>
          <w:rFonts w:hint="eastAsia" w:ascii="宋体" w:hAnsi="宋体" w:eastAsia="宋体" w:cs="宋体"/>
          <w:sz w:val="28"/>
          <w:szCs w:val="28"/>
        </w:rPr>
      </w:pPr>
      <w:r>
        <w:rPr>
          <w:rFonts w:hint="eastAsia" w:ascii="宋体" w:hAnsi="宋体" w:eastAsia="宋体" w:cs="宋体"/>
          <w:sz w:val="28"/>
          <w:szCs w:val="28"/>
        </w:rPr>
        <w:t>                           广东生态工程职业学院</w:t>
      </w:r>
    </w:p>
    <w:p w14:paraId="69F7CEAD">
      <w:pPr>
        <w:jc w:val="right"/>
        <w:rPr>
          <w:rFonts w:hint="eastAsia" w:ascii="宋体" w:hAnsi="宋体" w:eastAsia="宋体" w:cs="宋体"/>
          <w:sz w:val="28"/>
          <w:szCs w:val="28"/>
        </w:rPr>
      </w:pPr>
      <w:r>
        <w:rPr>
          <w:rFonts w:hint="eastAsia" w:ascii="宋体" w:hAnsi="宋体" w:eastAsia="宋体" w:cs="宋体"/>
          <w:sz w:val="28"/>
          <w:szCs w:val="28"/>
        </w:rPr>
        <w:t>招投标与采购中心</w:t>
      </w:r>
    </w:p>
    <w:p w14:paraId="314DB342">
      <w:pPr>
        <w:jc w:val="right"/>
        <w:rPr>
          <w:rFonts w:hint="eastAsia" w:ascii="宋体" w:hAnsi="宋体" w:eastAsia="宋体" w:cs="宋体"/>
          <w:sz w:val="28"/>
          <w:szCs w:val="28"/>
        </w:rPr>
      </w:pPr>
      <w:r>
        <w:rPr>
          <w:rFonts w:hint="eastAsia" w:ascii="宋体" w:hAnsi="宋体" w:eastAsia="宋体" w:cs="宋体"/>
          <w:sz w:val="28"/>
          <w:szCs w:val="28"/>
        </w:rPr>
        <w:t>202</w:t>
      </w:r>
      <w:r>
        <w:rPr>
          <w:rFonts w:hint="eastAsia" w:ascii="宋体" w:hAnsi="宋体" w:eastAsia="宋体" w:cs="宋体"/>
          <w:sz w:val="28"/>
          <w:szCs w:val="28"/>
          <w:lang w:val="en-US" w:eastAsia="zh-CN"/>
        </w:rPr>
        <w:t>4</w:t>
      </w:r>
      <w:r>
        <w:rPr>
          <w:rFonts w:hint="eastAsia" w:ascii="宋体" w:hAnsi="宋体" w:eastAsia="宋体" w:cs="宋体"/>
          <w:sz w:val="28"/>
          <w:szCs w:val="28"/>
        </w:rPr>
        <w:t>年</w:t>
      </w:r>
      <w:r>
        <w:rPr>
          <w:rFonts w:hint="eastAsia" w:ascii="宋体" w:hAnsi="宋体" w:eastAsia="宋体" w:cs="宋体"/>
          <w:sz w:val="28"/>
          <w:szCs w:val="28"/>
          <w:lang w:val="en-US" w:eastAsia="zh-CN"/>
        </w:rPr>
        <w:t>11</w:t>
      </w:r>
      <w:r>
        <w:rPr>
          <w:rFonts w:hint="eastAsia" w:ascii="宋体" w:hAnsi="宋体" w:eastAsia="宋体" w:cs="宋体"/>
          <w:sz w:val="28"/>
          <w:szCs w:val="28"/>
        </w:rPr>
        <w:t>月</w:t>
      </w:r>
      <w:r>
        <w:rPr>
          <w:rFonts w:hint="eastAsia" w:ascii="宋体" w:hAnsi="宋体" w:eastAsia="宋体" w:cs="宋体"/>
          <w:sz w:val="28"/>
          <w:szCs w:val="28"/>
          <w:lang w:val="en-US" w:eastAsia="zh-CN"/>
        </w:rPr>
        <w:t>15</w:t>
      </w:r>
      <w:r>
        <w:rPr>
          <w:rFonts w:hint="eastAsia" w:ascii="宋体" w:hAnsi="宋体" w:eastAsia="宋体" w:cs="宋体"/>
          <w:sz w:val="28"/>
          <w:szCs w:val="28"/>
        </w:rPr>
        <w:t>日</w:t>
      </w:r>
    </w:p>
    <w:p w14:paraId="160F4733">
      <w:pPr>
        <w:rPr>
          <w:rFonts w:hint="eastAsia" w:ascii="宋体" w:hAnsi="宋体" w:eastAsia="宋体" w:cs="宋体"/>
          <w:sz w:val="28"/>
          <w:szCs w:val="28"/>
        </w:rPr>
      </w:pPr>
      <w:r>
        <w:rPr>
          <w:rFonts w:hint="eastAsia" w:ascii="宋体" w:hAnsi="宋体" w:eastAsia="宋体" w:cs="宋体"/>
          <w:sz w:val="28"/>
          <w:szCs w:val="28"/>
        </w:rPr>
        <w:br w:type="page"/>
      </w:r>
    </w:p>
    <w:p w14:paraId="58862835">
      <w:pPr>
        <w:widowControl/>
        <w:numPr>
          <w:ilvl w:val="255"/>
          <w:numId w:val="0"/>
        </w:numPr>
        <w:jc w:val="left"/>
        <w:rPr>
          <w:rFonts w:hint="default" w:ascii="方正粗黑宋简体" w:hAnsi="方正粗黑宋简体" w:eastAsia="方正粗黑宋简体" w:cs="方正粗黑宋简体"/>
          <w:bCs/>
          <w:kern w:val="0"/>
          <w:sz w:val="24"/>
          <w:szCs w:val="24"/>
          <w:lang w:val="en-US" w:eastAsia="zh-CN"/>
        </w:rPr>
      </w:pPr>
      <w:r>
        <w:rPr>
          <w:rFonts w:hint="eastAsia" w:ascii="方正粗黑宋简体" w:hAnsi="方正粗黑宋简体" w:eastAsia="方正粗黑宋简体" w:cs="方正粗黑宋简体"/>
          <w:bCs/>
          <w:kern w:val="0"/>
          <w:sz w:val="24"/>
          <w:szCs w:val="24"/>
          <w:lang w:val="en-US" w:eastAsia="zh-CN"/>
        </w:rPr>
        <w:t>附件1</w:t>
      </w:r>
    </w:p>
    <w:p w14:paraId="61F71BF6">
      <w:pPr>
        <w:widowControl/>
        <w:numPr>
          <w:ilvl w:val="255"/>
          <w:numId w:val="0"/>
        </w:numPr>
        <w:jc w:val="center"/>
        <w:rPr>
          <w:rFonts w:hint="eastAsia" w:ascii="方正粗黑宋简体" w:hAnsi="方正粗黑宋简体" w:eastAsia="方正粗黑宋简体" w:cs="方正粗黑宋简体"/>
          <w:bCs/>
          <w:kern w:val="0"/>
          <w:sz w:val="18"/>
          <w:szCs w:val="18"/>
        </w:rPr>
      </w:pPr>
      <w:r>
        <w:rPr>
          <w:rFonts w:hint="eastAsia" w:ascii="方正粗黑宋简体" w:hAnsi="方正粗黑宋简体" w:eastAsia="方正粗黑宋简体" w:cs="方正粗黑宋简体"/>
          <w:bCs/>
          <w:kern w:val="0"/>
          <w:sz w:val="28"/>
        </w:rPr>
        <w:t>课后</w:t>
      </w:r>
      <w:r>
        <w:rPr>
          <w:rFonts w:hint="eastAsia" w:ascii="方正粗黑宋简体" w:hAnsi="方正粗黑宋简体" w:eastAsia="方正粗黑宋简体" w:cs="方正粗黑宋简体"/>
          <w:bCs/>
          <w:kern w:val="0"/>
          <w:sz w:val="28"/>
          <w:lang w:eastAsia="zh-CN"/>
        </w:rPr>
        <w:t>服务</w:t>
      </w:r>
      <w:r>
        <w:rPr>
          <w:rFonts w:hint="eastAsia" w:ascii="方正粗黑宋简体" w:hAnsi="方正粗黑宋简体" w:eastAsia="方正粗黑宋简体" w:cs="方正粗黑宋简体"/>
          <w:bCs/>
          <w:kern w:val="0"/>
          <w:sz w:val="28"/>
        </w:rPr>
        <w:t>素质课程第三方机构比选评分表</w:t>
      </w:r>
    </w:p>
    <w:tbl>
      <w:tblPr>
        <w:tblStyle w:val="2"/>
        <w:tblW w:w="101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065"/>
        <w:gridCol w:w="6133"/>
        <w:gridCol w:w="866"/>
        <w:gridCol w:w="1390"/>
      </w:tblGrid>
      <w:tr w14:paraId="1B21A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669" w:type="dxa"/>
            <w:vMerge w:val="restart"/>
            <w:vAlign w:val="center"/>
          </w:tcPr>
          <w:p w14:paraId="234F2E0A">
            <w:pPr>
              <w:widowControl/>
              <w:spacing w:line="280" w:lineRule="exact"/>
              <w:jc w:val="center"/>
              <w:rPr>
                <w:rFonts w:hint="default" w:ascii="宋体" w:hAnsi="宋体" w:cs="宋体" w:eastAsiaTheme="minorEastAsia"/>
                <w:bCs/>
                <w:kern w:val="0"/>
                <w:szCs w:val="21"/>
                <w:highlight w:val="none"/>
                <w:lang w:val="en-US" w:eastAsia="zh-CN"/>
              </w:rPr>
            </w:pPr>
            <w:r>
              <w:rPr>
                <w:rFonts w:hint="eastAsia" w:ascii="宋体" w:hAnsi="宋体" w:cs="宋体"/>
                <w:bCs/>
                <w:kern w:val="0"/>
                <w:szCs w:val="21"/>
                <w:highlight w:val="none"/>
                <w:lang w:val="en-US" w:eastAsia="zh-CN"/>
              </w:rPr>
              <w:t>商务部分</w:t>
            </w:r>
          </w:p>
        </w:tc>
        <w:tc>
          <w:tcPr>
            <w:tcW w:w="1065" w:type="dxa"/>
            <w:vAlign w:val="center"/>
          </w:tcPr>
          <w:p w14:paraId="260A63FF">
            <w:pPr>
              <w:widowControl/>
              <w:spacing w:line="280" w:lineRule="exact"/>
              <w:jc w:val="center"/>
              <w:rPr>
                <w:rFonts w:hint="eastAsia" w:ascii="宋体" w:hAnsi="宋体" w:cs="宋体"/>
                <w:bCs/>
                <w:kern w:val="0"/>
                <w:szCs w:val="21"/>
                <w:highlight w:val="none"/>
              </w:rPr>
            </w:pPr>
            <w:r>
              <w:rPr>
                <w:rFonts w:hint="eastAsia" w:ascii="宋体" w:hAnsi="宋体" w:cs="宋体"/>
                <w:bCs/>
                <w:kern w:val="0"/>
                <w:szCs w:val="21"/>
                <w:highlight w:val="none"/>
              </w:rPr>
              <w:t>评审</w:t>
            </w:r>
          </w:p>
          <w:p w14:paraId="64E38BAB">
            <w:pPr>
              <w:widowControl/>
              <w:spacing w:line="280" w:lineRule="exact"/>
              <w:jc w:val="center"/>
              <w:rPr>
                <w:rFonts w:ascii="宋体" w:hAnsi="宋体" w:cs="宋体"/>
                <w:bCs/>
                <w:kern w:val="0"/>
                <w:szCs w:val="21"/>
                <w:highlight w:val="none"/>
              </w:rPr>
            </w:pPr>
            <w:r>
              <w:rPr>
                <w:rFonts w:hint="eastAsia" w:ascii="宋体" w:hAnsi="宋体" w:cs="宋体"/>
                <w:bCs/>
                <w:kern w:val="0"/>
                <w:szCs w:val="21"/>
                <w:highlight w:val="none"/>
              </w:rPr>
              <w:t>分项</w:t>
            </w:r>
          </w:p>
        </w:tc>
        <w:tc>
          <w:tcPr>
            <w:tcW w:w="6133" w:type="dxa"/>
            <w:vAlign w:val="center"/>
          </w:tcPr>
          <w:p w14:paraId="16B57AB3">
            <w:pPr>
              <w:widowControl/>
              <w:spacing w:line="280" w:lineRule="exact"/>
              <w:jc w:val="center"/>
              <w:rPr>
                <w:rFonts w:ascii="宋体" w:hAnsi="宋体" w:cs="宋体"/>
                <w:bCs/>
                <w:kern w:val="0"/>
                <w:szCs w:val="21"/>
                <w:highlight w:val="none"/>
              </w:rPr>
            </w:pPr>
            <w:r>
              <w:rPr>
                <w:rFonts w:hint="eastAsia" w:ascii="宋体" w:hAnsi="宋体" w:cs="宋体"/>
                <w:bCs/>
                <w:kern w:val="0"/>
                <w:szCs w:val="21"/>
                <w:highlight w:val="none"/>
              </w:rPr>
              <w:t>评审细则（评分说明）</w:t>
            </w:r>
          </w:p>
        </w:tc>
        <w:tc>
          <w:tcPr>
            <w:tcW w:w="866" w:type="dxa"/>
            <w:vAlign w:val="center"/>
          </w:tcPr>
          <w:p w14:paraId="48D01B43">
            <w:pPr>
              <w:widowControl/>
              <w:spacing w:line="280" w:lineRule="exact"/>
              <w:jc w:val="center"/>
              <w:rPr>
                <w:rFonts w:hint="default" w:ascii="宋体" w:hAnsi="宋体" w:cs="宋体" w:eastAsiaTheme="minorEastAsia"/>
                <w:bCs/>
                <w:kern w:val="0"/>
                <w:szCs w:val="21"/>
                <w:highlight w:val="none"/>
                <w:lang w:val="en-US" w:eastAsia="zh-CN"/>
              </w:rPr>
            </w:pPr>
            <w:r>
              <w:rPr>
                <w:rFonts w:hint="eastAsia" w:ascii="宋体" w:hAnsi="宋体" w:cs="宋体"/>
                <w:bCs/>
                <w:kern w:val="0"/>
                <w:szCs w:val="21"/>
                <w:highlight w:val="none"/>
              </w:rPr>
              <w:t>分值</w:t>
            </w:r>
          </w:p>
        </w:tc>
        <w:tc>
          <w:tcPr>
            <w:tcW w:w="1390" w:type="dxa"/>
            <w:vAlign w:val="center"/>
          </w:tcPr>
          <w:p w14:paraId="7FD88159">
            <w:pPr>
              <w:widowControl/>
              <w:spacing w:line="280" w:lineRule="exact"/>
              <w:jc w:val="center"/>
              <w:rPr>
                <w:rFonts w:hint="eastAsia" w:ascii="宋体" w:hAnsi="宋体" w:cs="宋体" w:eastAsiaTheme="minorEastAsia"/>
                <w:bCs/>
                <w:kern w:val="0"/>
                <w:szCs w:val="21"/>
                <w:highlight w:val="none"/>
                <w:lang w:val="en-US" w:eastAsia="zh-CN"/>
              </w:rPr>
            </w:pPr>
            <w:r>
              <w:rPr>
                <w:rFonts w:hint="eastAsia" w:ascii="宋体" w:hAnsi="宋体" w:cs="宋体" w:eastAsiaTheme="minorEastAsia"/>
                <w:bCs/>
                <w:kern w:val="0"/>
                <w:szCs w:val="21"/>
                <w:highlight w:val="none"/>
                <w:lang w:val="en-US" w:eastAsia="zh-CN"/>
              </w:rPr>
              <w:t>证明文件</w:t>
            </w:r>
          </w:p>
          <w:p w14:paraId="61FCA0FA">
            <w:pPr>
              <w:widowControl/>
              <w:spacing w:line="280" w:lineRule="exact"/>
              <w:jc w:val="center"/>
              <w:rPr>
                <w:rFonts w:ascii="宋体" w:hAnsi="宋体" w:cs="宋体"/>
                <w:bCs/>
                <w:kern w:val="0"/>
                <w:szCs w:val="21"/>
                <w:highlight w:val="none"/>
              </w:rPr>
            </w:pPr>
            <w:r>
              <w:rPr>
                <w:rFonts w:hint="eastAsia" w:ascii="宋体" w:hAnsi="宋体" w:cs="宋体" w:eastAsiaTheme="minorEastAsia"/>
                <w:bCs/>
                <w:kern w:val="0"/>
                <w:szCs w:val="21"/>
                <w:highlight w:val="none"/>
                <w:lang w:val="en-US" w:eastAsia="zh-CN"/>
              </w:rPr>
              <w:t>（附页码）</w:t>
            </w:r>
          </w:p>
        </w:tc>
      </w:tr>
      <w:tr w14:paraId="29B79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669" w:type="dxa"/>
            <w:vMerge w:val="continue"/>
            <w:vAlign w:val="center"/>
          </w:tcPr>
          <w:p w14:paraId="532F88BB">
            <w:pPr>
              <w:widowControl/>
              <w:spacing w:line="280" w:lineRule="exact"/>
              <w:jc w:val="center"/>
              <w:rPr>
                <w:rFonts w:hint="eastAsia" w:ascii="宋体" w:hAnsi="宋体" w:cs="宋体"/>
                <w:bCs/>
                <w:kern w:val="0"/>
                <w:szCs w:val="21"/>
                <w:highlight w:val="none"/>
              </w:rPr>
            </w:pPr>
          </w:p>
        </w:tc>
        <w:tc>
          <w:tcPr>
            <w:tcW w:w="1065" w:type="dxa"/>
            <w:vMerge w:val="restart"/>
            <w:vAlign w:val="center"/>
          </w:tcPr>
          <w:p w14:paraId="20D151EA">
            <w:pPr>
              <w:widowControl/>
              <w:spacing w:line="280" w:lineRule="exact"/>
              <w:jc w:val="center"/>
              <w:rPr>
                <w:rFonts w:ascii="宋体" w:hAnsi="宋体" w:cs="宋体"/>
                <w:bCs/>
                <w:kern w:val="0"/>
                <w:szCs w:val="21"/>
                <w:highlight w:val="none"/>
              </w:rPr>
            </w:pPr>
            <w:r>
              <w:rPr>
                <w:rFonts w:hint="eastAsia" w:ascii="宋体" w:hAnsi="宋体" w:cs="宋体"/>
                <w:bCs/>
                <w:kern w:val="0"/>
                <w:szCs w:val="21"/>
                <w:highlight w:val="none"/>
              </w:rPr>
              <w:t>机构</w:t>
            </w:r>
            <w:r>
              <w:rPr>
                <w:rFonts w:ascii="宋体" w:hAnsi="宋体" w:cs="宋体"/>
                <w:bCs/>
                <w:kern w:val="0"/>
                <w:szCs w:val="21"/>
                <w:highlight w:val="none"/>
              </w:rPr>
              <w:t>资质</w:t>
            </w:r>
            <w:r>
              <w:rPr>
                <w:rFonts w:hint="eastAsia" w:ascii="宋体" w:hAnsi="宋体" w:cs="宋体"/>
                <w:bCs/>
                <w:kern w:val="0"/>
                <w:szCs w:val="21"/>
                <w:highlight w:val="none"/>
              </w:rPr>
              <w:t>（</w:t>
            </w:r>
            <w:r>
              <w:rPr>
                <w:rFonts w:ascii="宋体" w:hAnsi="宋体" w:cs="宋体"/>
                <w:bCs/>
                <w:kern w:val="0"/>
                <w:szCs w:val="21"/>
                <w:highlight w:val="none"/>
              </w:rPr>
              <w:t>20</w:t>
            </w:r>
            <w:r>
              <w:rPr>
                <w:rFonts w:hint="eastAsia" w:ascii="宋体" w:hAnsi="宋体" w:cs="宋体"/>
                <w:bCs/>
                <w:kern w:val="0"/>
                <w:szCs w:val="21"/>
                <w:highlight w:val="none"/>
              </w:rPr>
              <w:t>分）</w:t>
            </w:r>
          </w:p>
        </w:tc>
        <w:tc>
          <w:tcPr>
            <w:tcW w:w="6133" w:type="dxa"/>
            <w:vAlign w:val="center"/>
          </w:tcPr>
          <w:p w14:paraId="4498EF5F">
            <w:pPr>
              <w:widowControl/>
              <w:spacing w:line="280" w:lineRule="exact"/>
              <w:ind w:firstLine="44" w:firstLineChars="16"/>
              <w:rPr>
                <w:rFonts w:hint="eastAsia" w:ascii="宋体" w:hAnsi="宋体" w:cs="宋体" w:eastAsiaTheme="minorEastAsia"/>
                <w:bCs/>
                <w:kern w:val="0"/>
                <w:szCs w:val="21"/>
                <w:highlight w:val="none"/>
                <w:lang w:eastAsia="zh-CN"/>
              </w:rPr>
            </w:pPr>
            <w:r>
              <w:rPr>
                <w:rFonts w:hint="eastAsia" w:ascii="仿宋" w:hAnsi="仿宋" w:eastAsia="仿宋"/>
                <w:sz w:val="28"/>
                <w:szCs w:val="32"/>
                <w:highlight w:val="none"/>
              </w:rPr>
              <w:t>*</w:t>
            </w:r>
            <w:r>
              <w:rPr>
                <w:rFonts w:hint="eastAsia" w:ascii="宋体" w:hAnsi="宋体" w:cs="宋体"/>
                <w:bCs/>
                <w:kern w:val="0"/>
                <w:szCs w:val="21"/>
                <w:highlight w:val="none"/>
              </w:rPr>
              <w:t>进入广州市天河区教育局校内课后服务引入第三方机构白名单。</w:t>
            </w:r>
            <w:r>
              <w:rPr>
                <w:rFonts w:hint="eastAsia" w:ascii="宋体" w:hAnsi="宋体" w:cs="宋体"/>
                <w:bCs/>
                <w:kern w:val="0"/>
                <w:szCs w:val="21"/>
                <w:highlight w:val="none"/>
                <w:lang w:eastAsia="zh-CN"/>
              </w:rPr>
              <w:t>（</w:t>
            </w:r>
            <w:r>
              <w:rPr>
                <w:rFonts w:hint="eastAsia" w:ascii="宋体" w:hAnsi="宋体" w:cs="宋体"/>
                <w:bCs/>
                <w:kern w:val="0"/>
                <w:szCs w:val="21"/>
                <w:highlight w:val="none"/>
                <w:lang w:val="en-US" w:eastAsia="zh-CN"/>
              </w:rPr>
              <w:t>复印件盖章</w:t>
            </w:r>
            <w:r>
              <w:rPr>
                <w:rFonts w:hint="eastAsia" w:ascii="宋体" w:hAnsi="宋体" w:cs="宋体"/>
                <w:bCs/>
                <w:kern w:val="0"/>
                <w:szCs w:val="21"/>
                <w:highlight w:val="none"/>
                <w:lang w:eastAsia="zh-CN"/>
              </w:rPr>
              <w:t>）</w:t>
            </w:r>
          </w:p>
        </w:tc>
        <w:tc>
          <w:tcPr>
            <w:tcW w:w="866" w:type="dxa"/>
            <w:vAlign w:val="center"/>
          </w:tcPr>
          <w:p w14:paraId="513BD9C7">
            <w:pPr>
              <w:widowControl/>
              <w:spacing w:line="280" w:lineRule="exact"/>
              <w:jc w:val="center"/>
              <w:rPr>
                <w:rFonts w:ascii="宋体" w:hAnsi="宋体" w:cs="宋体"/>
                <w:bCs/>
                <w:kern w:val="0"/>
                <w:szCs w:val="21"/>
                <w:highlight w:val="none"/>
              </w:rPr>
            </w:pPr>
            <w:r>
              <w:rPr>
                <w:rFonts w:ascii="宋体" w:hAnsi="宋体" w:cs="宋体"/>
                <w:bCs/>
                <w:kern w:val="0"/>
                <w:szCs w:val="21"/>
                <w:highlight w:val="none"/>
              </w:rPr>
              <w:t>3</w:t>
            </w:r>
          </w:p>
        </w:tc>
        <w:tc>
          <w:tcPr>
            <w:tcW w:w="1390" w:type="dxa"/>
            <w:vAlign w:val="center"/>
          </w:tcPr>
          <w:p w14:paraId="351C4D42">
            <w:pPr>
              <w:widowControl/>
              <w:spacing w:line="280" w:lineRule="exact"/>
              <w:jc w:val="center"/>
              <w:rPr>
                <w:rFonts w:hint="eastAsia" w:ascii="宋体" w:hAnsi="宋体" w:cs="宋体" w:eastAsiaTheme="minorEastAsia"/>
                <w:bCs/>
                <w:kern w:val="0"/>
                <w:szCs w:val="21"/>
                <w:highlight w:val="none"/>
                <w:lang w:val="en-US" w:eastAsia="zh-CN"/>
              </w:rPr>
            </w:pPr>
          </w:p>
        </w:tc>
      </w:tr>
      <w:tr w14:paraId="7E465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69" w:type="dxa"/>
            <w:vMerge w:val="continue"/>
            <w:vAlign w:val="center"/>
          </w:tcPr>
          <w:p w14:paraId="5391BBC5">
            <w:pPr>
              <w:widowControl/>
              <w:spacing w:line="280" w:lineRule="exact"/>
              <w:jc w:val="center"/>
              <w:rPr>
                <w:rFonts w:ascii="宋体" w:hAnsi="宋体" w:cs="宋体"/>
                <w:bCs/>
                <w:kern w:val="0"/>
                <w:szCs w:val="21"/>
                <w:highlight w:val="none"/>
              </w:rPr>
            </w:pPr>
          </w:p>
        </w:tc>
        <w:tc>
          <w:tcPr>
            <w:tcW w:w="1065" w:type="dxa"/>
            <w:vMerge w:val="continue"/>
            <w:vAlign w:val="center"/>
          </w:tcPr>
          <w:p w14:paraId="11438DFC">
            <w:pPr>
              <w:widowControl/>
              <w:spacing w:line="280" w:lineRule="exact"/>
              <w:jc w:val="center"/>
              <w:rPr>
                <w:rFonts w:ascii="宋体" w:hAnsi="宋体" w:cs="宋体"/>
                <w:bCs/>
                <w:kern w:val="0"/>
                <w:szCs w:val="21"/>
                <w:highlight w:val="none"/>
              </w:rPr>
            </w:pPr>
          </w:p>
        </w:tc>
        <w:tc>
          <w:tcPr>
            <w:tcW w:w="6133" w:type="dxa"/>
            <w:vAlign w:val="center"/>
          </w:tcPr>
          <w:p w14:paraId="50780006">
            <w:pPr>
              <w:spacing w:line="280" w:lineRule="exact"/>
              <w:ind w:firstLine="44" w:firstLineChars="16"/>
              <w:rPr>
                <w:rFonts w:hint="eastAsia" w:ascii="宋体" w:hAnsi="宋体" w:cs="宋体" w:eastAsiaTheme="minorEastAsia"/>
                <w:bCs/>
                <w:kern w:val="0"/>
                <w:szCs w:val="21"/>
                <w:highlight w:val="none"/>
                <w:lang w:eastAsia="zh-CN"/>
              </w:rPr>
            </w:pPr>
            <w:r>
              <w:rPr>
                <w:rFonts w:hint="eastAsia" w:ascii="仿宋" w:hAnsi="仿宋" w:eastAsia="仿宋"/>
                <w:sz w:val="28"/>
                <w:szCs w:val="32"/>
                <w:highlight w:val="none"/>
              </w:rPr>
              <w:t>*</w:t>
            </w:r>
            <w:r>
              <w:rPr>
                <w:rFonts w:hint="eastAsia" w:ascii="宋体" w:hAnsi="宋体" w:cs="宋体"/>
                <w:bCs/>
                <w:kern w:val="0"/>
                <w:szCs w:val="21"/>
                <w:highlight w:val="none"/>
              </w:rPr>
              <w:t>服从学校的管理，自觉执行学校的管理规范。在课程设置、师资配备、课程定价上充分遵从学校意见。</w:t>
            </w:r>
            <w:r>
              <w:rPr>
                <w:rFonts w:hint="eastAsia" w:ascii="宋体" w:hAnsi="宋体" w:cs="宋体"/>
                <w:bCs/>
                <w:kern w:val="0"/>
                <w:szCs w:val="21"/>
                <w:highlight w:val="none"/>
                <w:lang w:eastAsia="zh-CN"/>
              </w:rPr>
              <w:t>（</w:t>
            </w:r>
            <w:r>
              <w:rPr>
                <w:rFonts w:hint="eastAsia" w:ascii="宋体" w:hAnsi="宋体" w:cs="宋体"/>
                <w:bCs/>
                <w:kern w:val="0"/>
                <w:szCs w:val="21"/>
                <w:highlight w:val="none"/>
                <w:lang w:val="en-US" w:eastAsia="zh-CN"/>
              </w:rPr>
              <w:t>承诺函盖章</w:t>
            </w:r>
            <w:r>
              <w:rPr>
                <w:rFonts w:hint="eastAsia" w:ascii="宋体" w:hAnsi="宋体" w:cs="宋体"/>
                <w:bCs/>
                <w:kern w:val="0"/>
                <w:szCs w:val="21"/>
                <w:highlight w:val="none"/>
                <w:lang w:eastAsia="zh-CN"/>
              </w:rPr>
              <w:t>）</w:t>
            </w:r>
          </w:p>
        </w:tc>
        <w:tc>
          <w:tcPr>
            <w:tcW w:w="866" w:type="dxa"/>
            <w:vAlign w:val="center"/>
          </w:tcPr>
          <w:p w14:paraId="34EE8119">
            <w:pPr>
              <w:spacing w:line="280" w:lineRule="exact"/>
              <w:jc w:val="center"/>
              <w:rPr>
                <w:rFonts w:ascii="宋体" w:hAnsi="宋体" w:cs="宋体"/>
                <w:bCs/>
                <w:kern w:val="0"/>
                <w:szCs w:val="21"/>
                <w:highlight w:val="none"/>
              </w:rPr>
            </w:pPr>
            <w:r>
              <w:rPr>
                <w:rFonts w:hint="eastAsia" w:ascii="宋体" w:hAnsi="宋体" w:cs="宋体"/>
                <w:bCs/>
                <w:kern w:val="0"/>
                <w:szCs w:val="21"/>
                <w:highlight w:val="none"/>
              </w:rPr>
              <w:t>3</w:t>
            </w:r>
          </w:p>
        </w:tc>
        <w:tc>
          <w:tcPr>
            <w:tcW w:w="1390" w:type="dxa"/>
            <w:vAlign w:val="center"/>
          </w:tcPr>
          <w:p w14:paraId="7BE8E3CA">
            <w:pPr>
              <w:widowControl/>
              <w:spacing w:line="280" w:lineRule="exact"/>
              <w:jc w:val="center"/>
              <w:rPr>
                <w:rFonts w:hint="default" w:ascii="宋体" w:hAnsi="宋体" w:cs="宋体" w:eastAsiaTheme="minorEastAsia"/>
                <w:bCs/>
                <w:kern w:val="0"/>
                <w:szCs w:val="21"/>
                <w:highlight w:val="none"/>
                <w:lang w:val="en-US" w:eastAsia="zh-CN"/>
              </w:rPr>
            </w:pPr>
          </w:p>
        </w:tc>
      </w:tr>
      <w:tr w14:paraId="263CF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69" w:type="dxa"/>
            <w:vMerge w:val="continue"/>
            <w:vAlign w:val="center"/>
          </w:tcPr>
          <w:p w14:paraId="4DBDDC07">
            <w:pPr>
              <w:widowControl/>
              <w:spacing w:line="280" w:lineRule="exact"/>
              <w:jc w:val="center"/>
              <w:rPr>
                <w:rFonts w:ascii="宋体" w:hAnsi="宋体" w:cs="宋体"/>
                <w:bCs/>
                <w:kern w:val="0"/>
                <w:szCs w:val="21"/>
                <w:highlight w:val="none"/>
              </w:rPr>
            </w:pPr>
          </w:p>
        </w:tc>
        <w:tc>
          <w:tcPr>
            <w:tcW w:w="1065" w:type="dxa"/>
            <w:vMerge w:val="continue"/>
            <w:vAlign w:val="center"/>
          </w:tcPr>
          <w:p w14:paraId="4313097D">
            <w:pPr>
              <w:widowControl/>
              <w:spacing w:line="280" w:lineRule="exact"/>
              <w:jc w:val="center"/>
              <w:rPr>
                <w:rFonts w:ascii="宋体" w:hAnsi="宋体" w:cs="宋体"/>
                <w:bCs/>
                <w:kern w:val="0"/>
                <w:szCs w:val="21"/>
                <w:highlight w:val="none"/>
              </w:rPr>
            </w:pPr>
          </w:p>
        </w:tc>
        <w:tc>
          <w:tcPr>
            <w:tcW w:w="6133" w:type="dxa"/>
            <w:vAlign w:val="center"/>
          </w:tcPr>
          <w:p w14:paraId="3462A943">
            <w:pPr>
              <w:widowControl/>
              <w:spacing w:line="280" w:lineRule="exact"/>
              <w:ind w:firstLine="44" w:firstLineChars="16"/>
              <w:rPr>
                <w:rFonts w:hint="eastAsia" w:ascii="宋体" w:hAnsi="宋体" w:cs="宋体"/>
                <w:bCs/>
                <w:kern w:val="0"/>
                <w:szCs w:val="21"/>
                <w:highlight w:val="none"/>
              </w:rPr>
            </w:pPr>
            <w:r>
              <w:rPr>
                <w:rFonts w:hint="eastAsia" w:ascii="仿宋" w:hAnsi="仿宋" w:eastAsia="仿宋"/>
                <w:sz w:val="28"/>
                <w:szCs w:val="32"/>
                <w:highlight w:val="none"/>
              </w:rPr>
              <w:t>*</w:t>
            </w:r>
            <w:r>
              <w:rPr>
                <w:rFonts w:hint="eastAsia" w:ascii="宋体" w:hAnsi="宋体" w:cs="宋体"/>
                <w:bCs/>
                <w:kern w:val="0"/>
                <w:szCs w:val="21"/>
                <w:highlight w:val="none"/>
              </w:rPr>
              <w:t>按照区教育局相关要求缴存</w:t>
            </w:r>
            <w:r>
              <w:rPr>
                <w:rFonts w:hint="eastAsia" w:ascii="宋体" w:hAnsi="宋体" w:cs="宋体"/>
                <w:bCs/>
                <w:kern w:val="0"/>
                <w:szCs w:val="21"/>
                <w:highlight w:val="none"/>
                <w:lang w:eastAsia="zh-CN"/>
              </w:rPr>
              <w:t>专项</w:t>
            </w:r>
            <w:r>
              <w:rPr>
                <w:rFonts w:hint="eastAsia" w:ascii="宋体" w:hAnsi="宋体" w:cs="宋体"/>
                <w:bCs/>
                <w:kern w:val="0"/>
                <w:szCs w:val="21"/>
                <w:highlight w:val="none"/>
              </w:rPr>
              <w:t>风险</w:t>
            </w:r>
            <w:r>
              <w:rPr>
                <w:rFonts w:hint="eastAsia" w:ascii="宋体" w:hAnsi="宋体" w:cs="宋体"/>
                <w:bCs/>
                <w:kern w:val="0"/>
                <w:szCs w:val="21"/>
                <w:highlight w:val="none"/>
                <w:lang w:val="en-US" w:eastAsia="zh-CN"/>
              </w:rPr>
              <w:t>储</w:t>
            </w:r>
            <w:r>
              <w:rPr>
                <w:rFonts w:hint="eastAsia" w:ascii="宋体" w:hAnsi="宋体" w:cs="宋体"/>
                <w:bCs/>
                <w:kern w:val="0"/>
                <w:szCs w:val="21"/>
                <w:highlight w:val="none"/>
              </w:rPr>
              <w:t>备金共计</w:t>
            </w:r>
            <w:r>
              <w:rPr>
                <w:rFonts w:hint="eastAsia" w:ascii="宋体" w:hAnsi="宋体" w:cs="宋体"/>
                <w:bCs/>
                <w:kern w:val="0"/>
                <w:szCs w:val="21"/>
                <w:highlight w:val="none"/>
                <w:lang w:val="en-US" w:eastAsia="zh-CN"/>
              </w:rPr>
              <w:t>30</w:t>
            </w:r>
            <w:r>
              <w:rPr>
                <w:rFonts w:hint="eastAsia" w:ascii="宋体" w:hAnsi="宋体" w:cs="宋体"/>
                <w:bCs/>
                <w:kern w:val="0"/>
                <w:szCs w:val="21"/>
                <w:highlight w:val="none"/>
              </w:rPr>
              <w:t>万元。</w:t>
            </w:r>
          </w:p>
          <w:p w14:paraId="3598342C">
            <w:pPr>
              <w:widowControl/>
              <w:spacing w:line="280" w:lineRule="exact"/>
              <w:rPr>
                <w:rFonts w:hint="eastAsia" w:ascii="宋体" w:hAnsi="宋体" w:cs="宋体"/>
                <w:bCs/>
                <w:kern w:val="0"/>
                <w:szCs w:val="21"/>
                <w:highlight w:val="none"/>
              </w:rPr>
            </w:pPr>
            <w:r>
              <w:rPr>
                <w:rFonts w:hint="eastAsia" w:ascii="宋体" w:hAnsi="宋体" w:cs="宋体"/>
                <w:bCs/>
                <w:kern w:val="0"/>
                <w:szCs w:val="21"/>
                <w:highlight w:val="none"/>
                <w:lang w:eastAsia="zh-CN"/>
              </w:rPr>
              <w:t>（</w:t>
            </w:r>
            <w:r>
              <w:rPr>
                <w:rFonts w:hint="eastAsia" w:ascii="宋体" w:hAnsi="宋体" w:cs="宋体"/>
                <w:bCs/>
                <w:kern w:val="0"/>
                <w:szCs w:val="21"/>
                <w:highlight w:val="none"/>
                <w:lang w:val="en-US" w:eastAsia="zh-CN"/>
              </w:rPr>
              <w:t>承诺函盖章</w:t>
            </w:r>
            <w:r>
              <w:rPr>
                <w:rFonts w:hint="eastAsia" w:ascii="宋体" w:hAnsi="宋体" w:cs="宋体"/>
                <w:bCs/>
                <w:kern w:val="0"/>
                <w:szCs w:val="21"/>
                <w:highlight w:val="none"/>
                <w:lang w:eastAsia="zh-CN"/>
              </w:rPr>
              <w:t>）</w:t>
            </w:r>
          </w:p>
        </w:tc>
        <w:tc>
          <w:tcPr>
            <w:tcW w:w="866" w:type="dxa"/>
            <w:vAlign w:val="center"/>
          </w:tcPr>
          <w:p w14:paraId="3582E318">
            <w:pPr>
              <w:widowControl/>
              <w:spacing w:line="280" w:lineRule="exact"/>
              <w:jc w:val="center"/>
              <w:rPr>
                <w:rFonts w:ascii="宋体" w:hAnsi="宋体" w:cs="宋体"/>
                <w:bCs/>
                <w:kern w:val="0"/>
                <w:szCs w:val="21"/>
                <w:highlight w:val="none"/>
              </w:rPr>
            </w:pPr>
            <w:r>
              <w:rPr>
                <w:rFonts w:ascii="宋体" w:hAnsi="宋体" w:cs="宋体"/>
                <w:bCs/>
                <w:kern w:val="0"/>
                <w:szCs w:val="21"/>
                <w:highlight w:val="none"/>
              </w:rPr>
              <w:t>3</w:t>
            </w:r>
          </w:p>
        </w:tc>
        <w:tc>
          <w:tcPr>
            <w:tcW w:w="1390" w:type="dxa"/>
            <w:vAlign w:val="center"/>
          </w:tcPr>
          <w:p w14:paraId="6BA0ED12">
            <w:pPr>
              <w:widowControl/>
              <w:spacing w:line="280" w:lineRule="exact"/>
              <w:jc w:val="center"/>
              <w:rPr>
                <w:rFonts w:hint="eastAsia" w:ascii="宋体" w:hAnsi="宋体" w:cs="宋体" w:eastAsiaTheme="minorEastAsia"/>
                <w:bCs/>
                <w:kern w:val="0"/>
                <w:szCs w:val="21"/>
                <w:highlight w:val="none"/>
                <w:lang w:val="en-US" w:eastAsia="zh-CN"/>
              </w:rPr>
            </w:pPr>
          </w:p>
        </w:tc>
      </w:tr>
      <w:tr w14:paraId="12126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69" w:type="dxa"/>
            <w:vMerge w:val="continue"/>
            <w:vAlign w:val="center"/>
          </w:tcPr>
          <w:p w14:paraId="1480361A">
            <w:pPr>
              <w:widowControl/>
              <w:spacing w:line="280" w:lineRule="exact"/>
              <w:jc w:val="center"/>
              <w:rPr>
                <w:rFonts w:ascii="宋体" w:hAnsi="宋体" w:cs="宋体"/>
                <w:bCs/>
                <w:kern w:val="0"/>
                <w:szCs w:val="21"/>
                <w:highlight w:val="none"/>
              </w:rPr>
            </w:pPr>
          </w:p>
        </w:tc>
        <w:tc>
          <w:tcPr>
            <w:tcW w:w="1065" w:type="dxa"/>
            <w:vMerge w:val="continue"/>
            <w:vAlign w:val="center"/>
          </w:tcPr>
          <w:p w14:paraId="6001D411">
            <w:pPr>
              <w:widowControl/>
              <w:spacing w:line="280" w:lineRule="exact"/>
              <w:jc w:val="center"/>
              <w:rPr>
                <w:rFonts w:ascii="宋体" w:hAnsi="宋体" w:cs="宋体"/>
                <w:bCs/>
                <w:kern w:val="0"/>
                <w:szCs w:val="21"/>
                <w:highlight w:val="none"/>
              </w:rPr>
            </w:pPr>
          </w:p>
        </w:tc>
        <w:tc>
          <w:tcPr>
            <w:tcW w:w="6133" w:type="dxa"/>
            <w:vAlign w:val="center"/>
          </w:tcPr>
          <w:p w14:paraId="6AFC13B7">
            <w:pPr>
              <w:widowControl/>
              <w:spacing w:line="280" w:lineRule="exact"/>
              <w:ind w:firstLine="44" w:firstLineChars="16"/>
              <w:rPr>
                <w:rFonts w:hint="eastAsia" w:ascii="宋体" w:hAnsi="宋体" w:cs="宋体" w:eastAsiaTheme="minorEastAsia"/>
                <w:bCs/>
                <w:kern w:val="0"/>
                <w:szCs w:val="21"/>
                <w:highlight w:val="none"/>
                <w:lang w:eastAsia="zh-CN"/>
              </w:rPr>
            </w:pPr>
            <w:r>
              <w:rPr>
                <w:rFonts w:hint="eastAsia" w:ascii="仿宋" w:hAnsi="仿宋" w:eastAsia="仿宋"/>
                <w:sz w:val="28"/>
                <w:szCs w:val="32"/>
                <w:highlight w:val="none"/>
              </w:rPr>
              <w:t>*</w:t>
            </w:r>
            <w:r>
              <w:rPr>
                <w:rFonts w:hint="eastAsia" w:ascii="宋体" w:hAnsi="宋体" w:cs="宋体"/>
                <w:bCs/>
                <w:kern w:val="0"/>
                <w:szCs w:val="21"/>
                <w:highlight w:val="none"/>
              </w:rPr>
              <w:t>在原有服务学校的管理综合满意度调查中，满意度不低于80%。</w:t>
            </w:r>
            <w:r>
              <w:rPr>
                <w:rFonts w:hint="eastAsia" w:ascii="宋体" w:hAnsi="宋体" w:cs="宋体"/>
                <w:bCs/>
                <w:kern w:val="0"/>
                <w:szCs w:val="21"/>
                <w:highlight w:val="none"/>
                <w:lang w:eastAsia="zh-CN"/>
              </w:rPr>
              <w:t>（</w:t>
            </w:r>
            <w:r>
              <w:rPr>
                <w:rFonts w:hint="eastAsia" w:ascii="宋体" w:hAnsi="宋体" w:cs="宋体"/>
                <w:bCs/>
                <w:kern w:val="0"/>
                <w:szCs w:val="21"/>
                <w:highlight w:val="none"/>
                <w:lang w:val="en-US" w:eastAsia="zh-CN"/>
              </w:rPr>
              <w:t>提供一份得一分，最高得4分</w:t>
            </w:r>
            <w:r>
              <w:rPr>
                <w:rFonts w:hint="eastAsia" w:ascii="宋体" w:hAnsi="宋体" w:cs="宋体"/>
                <w:bCs/>
                <w:kern w:val="0"/>
                <w:szCs w:val="21"/>
                <w:highlight w:val="none"/>
                <w:lang w:eastAsia="zh-CN"/>
              </w:rPr>
              <w:t>）</w:t>
            </w:r>
          </w:p>
        </w:tc>
        <w:tc>
          <w:tcPr>
            <w:tcW w:w="866" w:type="dxa"/>
            <w:vAlign w:val="center"/>
          </w:tcPr>
          <w:p w14:paraId="628121A6">
            <w:pPr>
              <w:widowControl/>
              <w:spacing w:line="280" w:lineRule="exact"/>
              <w:jc w:val="center"/>
              <w:rPr>
                <w:rFonts w:ascii="宋体" w:hAnsi="宋体" w:cs="宋体"/>
                <w:bCs/>
                <w:kern w:val="0"/>
                <w:szCs w:val="21"/>
                <w:highlight w:val="none"/>
              </w:rPr>
            </w:pPr>
            <w:r>
              <w:rPr>
                <w:rFonts w:ascii="宋体" w:hAnsi="宋体" w:cs="宋体"/>
                <w:bCs/>
                <w:kern w:val="0"/>
                <w:szCs w:val="21"/>
                <w:highlight w:val="none"/>
              </w:rPr>
              <w:t>4</w:t>
            </w:r>
          </w:p>
        </w:tc>
        <w:tc>
          <w:tcPr>
            <w:tcW w:w="1390" w:type="dxa"/>
            <w:vAlign w:val="center"/>
          </w:tcPr>
          <w:p w14:paraId="510D91BE">
            <w:pPr>
              <w:widowControl/>
              <w:spacing w:line="280" w:lineRule="exact"/>
              <w:jc w:val="center"/>
              <w:rPr>
                <w:rFonts w:hint="eastAsia" w:ascii="宋体" w:hAnsi="宋体" w:cs="宋体" w:eastAsiaTheme="minorEastAsia"/>
                <w:bCs/>
                <w:kern w:val="0"/>
                <w:szCs w:val="21"/>
                <w:highlight w:val="none"/>
                <w:lang w:val="en-US" w:eastAsia="zh-CN"/>
              </w:rPr>
            </w:pPr>
          </w:p>
        </w:tc>
      </w:tr>
      <w:tr w14:paraId="5696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69" w:type="dxa"/>
            <w:vMerge w:val="continue"/>
            <w:vAlign w:val="center"/>
          </w:tcPr>
          <w:p w14:paraId="12EE25A5">
            <w:pPr>
              <w:widowControl/>
              <w:spacing w:line="280" w:lineRule="exact"/>
              <w:jc w:val="center"/>
              <w:rPr>
                <w:rFonts w:ascii="宋体" w:hAnsi="宋体" w:cs="宋体"/>
                <w:bCs/>
                <w:kern w:val="0"/>
                <w:szCs w:val="21"/>
                <w:highlight w:val="none"/>
              </w:rPr>
            </w:pPr>
          </w:p>
        </w:tc>
        <w:tc>
          <w:tcPr>
            <w:tcW w:w="1065" w:type="dxa"/>
            <w:vMerge w:val="continue"/>
            <w:vAlign w:val="center"/>
          </w:tcPr>
          <w:p w14:paraId="2FEA1865">
            <w:pPr>
              <w:widowControl/>
              <w:spacing w:line="280" w:lineRule="exact"/>
              <w:jc w:val="center"/>
              <w:rPr>
                <w:rFonts w:ascii="宋体" w:hAnsi="宋体" w:cs="宋体"/>
                <w:bCs/>
                <w:kern w:val="0"/>
                <w:szCs w:val="21"/>
                <w:highlight w:val="none"/>
              </w:rPr>
            </w:pPr>
          </w:p>
        </w:tc>
        <w:tc>
          <w:tcPr>
            <w:tcW w:w="6133" w:type="dxa"/>
            <w:vAlign w:val="center"/>
          </w:tcPr>
          <w:p w14:paraId="09F39501">
            <w:pPr>
              <w:widowControl/>
              <w:spacing w:line="280" w:lineRule="exact"/>
              <w:ind w:firstLine="44" w:firstLineChars="16"/>
              <w:rPr>
                <w:rFonts w:ascii="宋体" w:hAnsi="宋体" w:cs="宋体"/>
                <w:bCs/>
                <w:kern w:val="0"/>
                <w:szCs w:val="21"/>
                <w:highlight w:val="none"/>
              </w:rPr>
            </w:pPr>
            <w:r>
              <w:rPr>
                <w:rFonts w:hint="eastAsia" w:ascii="仿宋" w:hAnsi="仿宋" w:eastAsia="仿宋"/>
                <w:sz w:val="28"/>
                <w:szCs w:val="32"/>
                <w:highlight w:val="none"/>
              </w:rPr>
              <w:t>*</w:t>
            </w:r>
            <w:r>
              <w:rPr>
                <w:rFonts w:hint="eastAsia" w:ascii="宋体" w:hAnsi="宋体" w:cs="宋体"/>
                <w:bCs/>
                <w:kern w:val="0"/>
                <w:szCs w:val="21"/>
                <w:highlight w:val="none"/>
              </w:rPr>
              <w:t>承诺不会利用学校作为宣传阵地，在校招揽生源开展校外增值服务（同等条件下，学校优先引入在校区三公里内没有培训点的机构</w:t>
            </w:r>
            <w:r>
              <w:rPr>
                <w:rFonts w:hint="eastAsia" w:ascii="宋体" w:hAnsi="宋体" w:cs="宋体"/>
                <w:bCs/>
                <w:kern w:val="0"/>
                <w:szCs w:val="21"/>
                <w:highlight w:val="none"/>
                <w:lang w:eastAsia="zh-CN"/>
              </w:rPr>
              <w:t>，</w:t>
            </w:r>
            <w:r>
              <w:rPr>
                <w:rFonts w:hint="eastAsia" w:ascii="宋体" w:hAnsi="宋体" w:cs="宋体"/>
                <w:bCs/>
                <w:kern w:val="0"/>
                <w:szCs w:val="21"/>
                <w:highlight w:val="none"/>
                <w:lang w:val="en-US" w:eastAsia="zh-CN"/>
              </w:rPr>
              <w:t>承诺函盖章</w:t>
            </w:r>
            <w:r>
              <w:rPr>
                <w:rFonts w:hint="eastAsia" w:ascii="宋体" w:hAnsi="宋体" w:cs="宋体"/>
                <w:bCs/>
                <w:kern w:val="0"/>
                <w:szCs w:val="21"/>
                <w:highlight w:val="none"/>
              </w:rPr>
              <w:t>）。</w:t>
            </w:r>
          </w:p>
        </w:tc>
        <w:tc>
          <w:tcPr>
            <w:tcW w:w="866" w:type="dxa"/>
            <w:vAlign w:val="center"/>
          </w:tcPr>
          <w:p w14:paraId="29493752">
            <w:pPr>
              <w:widowControl/>
              <w:spacing w:line="280" w:lineRule="exact"/>
              <w:jc w:val="center"/>
              <w:rPr>
                <w:rFonts w:ascii="宋体" w:hAnsi="宋体" w:cs="宋体"/>
                <w:bCs/>
                <w:kern w:val="0"/>
                <w:szCs w:val="21"/>
                <w:highlight w:val="none"/>
              </w:rPr>
            </w:pPr>
            <w:r>
              <w:rPr>
                <w:rFonts w:hint="eastAsia" w:ascii="宋体" w:hAnsi="宋体" w:cs="宋体"/>
                <w:bCs/>
                <w:kern w:val="0"/>
                <w:szCs w:val="21"/>
                <w:highlight w:val="none"/>
              </w:rPr>
              <w:t>2</w:t>
            </w:r>
          </w:p>
        </w:tc>
        <w:tc>
          <w:tcPr>
            <w:tcW w:w="1390" w:type="dxa"/>
            <w:vAlign w:val="center"/>
          </w:tcPr>
          <w:p w14:paraId="6600293D">
            <w:pPr>
              <w:widowControl/>
              <w:spacing w:line="280" w:lineRule="exact"/>
              <w:jc w:val="center"/>
              <w:rPr>
                <w:rFonts w:hint="eastAsia" w:ascii="宋体" w:hAnsi="宋体" w:cs="宋体" w:eastAsiaTheme="minorEastAsia"/>
                <w:bCs/>
                <w:kern w:val="0"/>
                <w:szCs w:val="21"/>
                <w:highlight w:val="none"/>
                <w:lang w:val="en-US" w:eastAsia="zh-CN"/>
              </w:rPr>
            </w:pPr>
          </w:p>
        </w:tc>
      </w:tr>
      <w:tr w14:paraId="34727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69" w:type="dxa"/>
            <w:vMerge w:val="continue"/>
            <w:vAlign w:val="center"/>
          </w:tcPr>
          <w:p w14:paraId="4BAA0BC5">
            <w:pPr>
              <w:widowControl/>
              <w:spacing w:line="280" w:lineRule="exact"/>
              <w:jc w:val="center"/>
              <w:rPr>
                <w:rFonts w:ascii="宋体" w:hAnsi="宋体" w:cs="宋体"/>
                <w:bCs/>
                <w:kern w:val="0"/>
                <w:szCs w:val="21"/>
                <w:highlight w:val="none"/>
              </w:rPr>
            </w:pPr>
          </w:p>
        </w:tc>
        <w:tc>
          <w:tcPr>
            <w:tcW w:w="1065" w:type="dxa"/>
            <w:vMerge w:val="continue"/>
            <w:vAlign w:val="center"/>
          </w:tcPr>
          <w:p w14:paraId="685E7513">
            <w:pPr>
              <w:widowControl/>
              <w:spacing w:line="280" w:lineRule="exact"/>
              <w:jc w:val="center"/>
              <w:rPr>
                <w:rFonts w:ascii="宋体" w:hAnsi="宋体" w:cs="宋体"/>
                <w:bCs/>
                <w:kern w:val="0"/>
                <w:szCs w:val="21"/>
                <w:highlight w:val="none"/>
              </w:rPr>
            </w:pPr>
          </w:p>
        </w:tc>
        <w:tc>
          <w:tcPr>
            <w:tcW w:w="6133" w:type="dxa"/>
            <w:vAlign w:val="center"/>
          </w:tcPr>
          <w:p w14:paraId="48F88D11">
            <w:pPr>
              <w:widowControl/>
              <w:spacing w:line="280" w:lineRule="exact"/>
              <w:ind w:firstLine="44" w:firstLineChars="16"/>
              <w:rPr>
                <w:rFonts w:ascii="宋体" w:hAnsi="宋体" w:cs="宋体"/>
                <w:bCs/>
                <w:kern w:val="0"/>
                <w:szCs w:val="21"/>
                <w:highlight w:val="none"/>
              </w:rPr>
            </w:pPr>
            <w:r>
              <w:rPr>
                <w:rFonts w:hint="eastAsia" w:ascii="仿宋" w:hAnsi="仿宋" w:eastAsia="仿宋"/>
                <w:sz w:val="28"/>
                <w:szCs w:val="32"/>
                <w:highlight w:val="none"/>
              </w:rPr>
              <w:t>*</w:t>
            </w:r>
            <w:r>
              <w:rPr>
                <w:rFonts w:hint="eastAsia" w:ascii="宋体" w:hAnsi="宋体" w:cs="宋体"/>
                <w:bCs/>
                <w:kern w:val="0"/>
                <w:szCs w:val="21"/>
                <w:highlight w:val="none"/>
              </w:rPr>
              <w:t>承诺若在学校每年组织的管理综合满意度调查中，满意度低于80%，将自动与学校终止托管服务。承诺遵守天河区教育局白名单退出机制。</w:t>
            </w:r>
            <w:r>
              <w:rPr>
                <w:rFonts w:hint="eastAsia" w:ascii="宋体" w:hAnsi="宋体" w:cs="宋体"/>
                <w:bCs/>
                <w:kern w:val="0"/>
                <w:szCs w:val="21"/>
                <w:highlight w:val="none"/>
                <w:lang w:eastAsia="zh-CN"/>
              </w:rPr>
              <w:t>（</w:t>
            </w:r>
            <w:r>
              <w:rPr>
                <w:rFonts w:hint="eastAsia" w:ascii="宋体" w:hAnsi="宋体" w:cs="宋体"/>
                <w:bCs/>
                <w:kern w:val="0"/>
                <w:szCs w:val="21"/>
                <w:highlight w:val="none"/>
                <w:lang w:val="en-US" w:eastAsia="zh-CN"/>
              </w:rPr>
              <w:t>承诺函盖章</w:t>
            </w:r>
            <w:r>
              <w:rPr>
                <w:rFonts w:hint="eastAsia" w:ascii="宋体" w:hAnsi="宋体" w:cs="宋体"/>
                <w:bCs/>
                <w:kern w:val="0"/>
                <w:szCs w:val="21"/>
                <w:highlight w:val="none"/>
                <w:lang w:eastAsia="zh-CN"/>
              </w:rPr>
              <w:t>）</w:t>
            </w:r>
          </w:p>
        </w:tc>
        <w:tc>
          <w:tcPr>
            <w:tcW w:w="866" w:type="dxa"/>
            <w:vAlign w:val="center"/>
          </w:tcPr>
          <w:p w14:paraId="22A341BC">
            <w:pPr>
              <w:widowControl/>
              <w:spacing w:line="280" w:lineRule="exact"/>
              <w:jc w:val="center"/>
              <w:rPr>
                <w:rFonts w:ascii="宋体" w:hAnsi="宋体" w:cs="宋体"/>
                <w:bCs/>
                <w:kern w:val="0"/>
                <w:szCs w:val="21"/>
                <w:highlight w:val="none"/>
              </w:rPr>
            </w:pPr>
            <w:r>
              <w:rPr>
                <w:rFonts w:ascii="宋体" w:hAnsi="宋体" w:cs="宋体"/>
                <w:bCs/>
                <w:kern w:val="0"/>
                <w:szCs w:val="21"/>
                <w:highlight w:val="none"/>
              </w:rPr>
              <w:t>2</w:t>
            </w:r>
          </w:p>
        </w:tc>
        <w:tc>
          <w:tcPr>
            <w:tcW w:w="1390" w:type="dxa"/>
            <w:vAlign w:val="center"/>
          </w:tcPr>
          <w:p w14:paraId="06121E98">
            <w:pPr>
              <w:widowControl/>
              <w:spacing w:line="280" w:lineRule="exact"/>
              <w:jc w:val="center"/>
              <w:rPr>
                <w:rFonts w:hint="eastAsia" w:ascii="宋体" w:hAnsi="宋体" w:cs="宋体" w:eastAsiaTheme="minorEastAsia"/>
                <w:bCs/>
                <w:kern w:val="0"/>
                <w:szCs w:val="21"/>
                <w:highlight w:val="none"/>
                <w:lang w:val="en-US" w:eastAsia="zh-CN"/>
              </w:rPr>
            </w:pPr>
          </w:p>
        </w:tc>
      </w:tr>
      <w:tr w14:paraId="1BB5C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669" w:type="dxa"/>
            <w:vMerge w:val="continue"/>
            <w:vAlign w:val="center"/>
          </w:tcPr>
          <w:p w14:paraId="05226A3C">
            <w:pPr>
              <w:widowControl/>
              <w:spacing w:line="280" w:lineRule="exact"/>
              <w:jc w:val="center"/>
              <w:rPr>
                <w:rFonts w:ascii="宋体" w:hAnsi="宋体" w:cs="宋体"/>
                <w:bCs/>
                <w:kern w:val="0"/>
                <w:szCs w:val="21"/>
                <w:highlight w:val="none"/>
              </w:rPr>
            </w:pPr>
          </w:p>
        </w:tc>
        <w:tc>
          <w:tcPr>
            <w:tcW w:w="1065" w:type="dxa"/>
            <w:vMerge w:val="continue"/>
            <w:vAlign w:val="center"/>
          </w:tcPr>
          <w:p w14:paraId="50301D96">
            <w:pPr>
              <w:widowControl/>
              <w:spacing w:line="280" w:lineRule="exact"/>
              <w:jc w:val="center"/>
              <w:rPr>
                <w:rFonts w:ascii="宋体" w:hAnsi="宋体" w:cs="宋体"/>
                <w:bCs/>
                <w:kern w:val="0"/>
                <w:szCs w:val="21"/>
                <w:highlight w:val="none"/>
              </w:rPr>
            </w:pPr>
          </w:p>
        </w:tc>
        <w:tc>
          <w:tcPr>
            <w:tcW w:w="6133" w:type="dxa"/>
            <w:vAlign w:val="center"/>
          </w:tcPr>
          <w:p w14:paraId="7D6916F6">
            <w:pPr>
              <w:spacing w:line="280" w:lineRule="exact"/>
              <w:ind w:firstLine="44" w:firstLineChars="16"/>
              <w:rPr>
                <w:rFonts w:ascii="宋体" w:hAnsi="宋体" w:cs="宋体"/>
                <w:bCs/>
                <w:kern w:val="0"/>
                <w:szCs w:val="21"/>
                <w:highlight w:val="none"/>
              </w:rPr>
            </w:pPr>
            <w:r>
              <w:rPr>
                <w:rFonts w:hint="eastAsia" w:ascii="仿宋" w:hAnsi="仿宋" w:eastAsia="仿宋"/>
                <w:sz w:val="28"/>
                <w:szCs w:val="32"/>
                <w:highlight w:val="none"/>
              </w:rPr>
              <w:t>*</w:t>
            </w:r>
            <w:r>
              <w:rPr>
                <w:rFonts w:hAnsi="宋体"/>
                <w:kern w:val="0"/>
                <w:szCs w:val="21"/>
                <w:highlight w:val="none"/>
              </w:rPr>
              <w:t>近</w:t>
            </w:r>
            <w:r>
              <w:rPr>
                <w:rFonts w:hint="eastAsia" w:hAnsi="宋体"/>
                <w:kern w:val="0"/>
                <w:szCs w:val="21"/>
                <w:highlight w:val="none"/>
                <w:lang w:val="en-US" w:eastAsia="zh-CN"/>
              </w:rPr>
              <w:t>3</w:t>
            </w:r>
            <w:r>
              <w:rPr>
                <w:rFonts w:hAnsi="宋体"/>
                <w:kern w:val="0"/>
                <w:szCs w:val="21"/>
                <w:highlight w:val="none"/>
              </w:rPr>
              <w:t>年年审合格，无违法纪录。</w:t>
            </w:r>
            <w:r>
              <w:rPr>
                <w:rFonts w:hint="eastAsia" w:ascii="宋体" w:hAnsi="宋体" w:cs="宋体"/>
                <w:bCs/>
                <w:kern w:val="0"/>
                <w:szCs w:val="21"/>
                <w:highlight w:val="none"/>
                <w:lang w:eastAsia="zh-CN"/>
              </w:rPr>
              <w:t>（</w:t>
            </w:r>
            <w:r>
              <w:rPr>
                <w:rFonts w:hint="eastAsia" w:ascii="宋体" w:hAnsi="宋体" w:cs="宋体"/>
                <w:bCs/>
                <w:kern w:val="0"/>
                <w:szCs w:val="21"/>
                <w:highlight w:val="none"/>
                <w:lang w:val="en-US" w:eastAsia="zh-CN"/>
              </w:rPr>
              <w:t>提供相应证明盖章</w:t>
            </w:r>
            <w:r>
              <w:rPr>
                <w:rFonts w:hint="eastAsia" w:ascii="宋体" w:hAnsi="宋体" w:cs="宋体"/>
                <w:bCs/>
                <w:kern w:val="0"/>
                <w:szCs w:val="21"/>
                <w:highlight w:val="none"/>
                <w:lang w:eastAsia="zh-CN"/>
              </w:rPr>
              <w:t>）</w:t>
            </w:r>
          </w:p>
        </w:tc>
        <w:tc>
          <w:tcPr>
            <w:tcW w:w="866" w:type="dxa"/>
            <w:vAlign w:val="center"/>
          </w:tcPr>
          <w:p w14:paraId="198040AF">
            <w:pPr>
              <w:spacing w:line="280" w:lineRule="exact"/>
              <w:jc w:val="center"/>
              <w:rPr>
                <w:rFonts w:ascii="宋体" w:hAnsi="宋体" w:cs="宋体"/>
                <w:bCs/>
                <w:kern w:val="0"/>
                <w:szCs w:val="21"/>
                <w:highlight w:val="none"/>
              </w:rPr>
            </w:pPr>
            <w:r>
              <w:rPr>
                <w:rFonts w:hint="eastAsia" w:ascii="宋体" w:hAnsi="宋体" w:cs="宋体"/>
                <w:bCs/>
                <w:kern w:val="0"/>
                <w:szCs w:val="21"/>
                <w:highlight w:val="none"/>
              </w:rPr>
              <w:t>3</w:t>
            </w:r>
          </w:p>
        </w:tc>
        <w:tc>
          <w:tcPr>
            <w:tcW w:w="1390" w:type="dxa"/>
            <w:vAlign w:val="center"/>
          </w:tcPr>
          <w:p w14:paraId="771FD978">
            <w:pPr>
              <w:widowControl/>
              <w:spacing w:line="280" w:lineRule="exact"/>
              <w:jc w:val="center"/>
              <w:rPr>
                <w:rFonts w:hint="eastAsia" w:ascii="宋体" w:hAnsi="宋体" w:cs="宋体" w:eastAsiaTheme="minorEastAsia"/>
                <w:bCs/>
                <w:kern w:val="0"/>
                <w:szCs w:val="21"/>
                <w:highlight w:val="none"/>
                <w:lang w:val="en-US" w:eastAsia="zh-CN"/>
              </w:rPr>
            </w:pPr>
          </w:p>
        </w:tc>
      </w:tr>
      <w:tr w14:paraId="72A8C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669" w:type="dxa"/>
            <w:vMerge w:val="restart"/>
            <w:vAlign w:val="center"/>
          </w:tcPr>
          <w:p w14:paraId="195F5423">
            <w:pPr>
              <w:widowControl/>
              <w:spacing w:line="280" w:lineRule="exact"/>
              <w:jc w:val="center"/>
              <w:rPr>
                <w:rFonts w:hint="default" w:ascii="宋体" w:hAnsi="宋体" w:cs="宋体" w:eastAsiaTheme="minorEastAsia"/>
                <w:kern w:val="0"/>
                <w:szCs w:val="21"/>
                <w:highlight w:val="none"/>
                <w:lang w:val="en-US" w:eastAsia="zh-CN"/>
              </w:rPr>
            </w:pPr>
            <w:r>
              <w:rPr>
                <w:rFonts w:hint="eastAsia" w:ascii="宋体" w:hAnsi="宋体" w:cs="宋体"/>
                <w:kern w:val="0"/>
                <w:szCs w:val="21"/>
                <w:highlight w:val="none"/>
                <w:lang w:val="en-US" w:eastAsia="zh-CN"/>
              </w:rPr>
              <w:t>技术部分</w:t>
            </w:r>
          </w:p>
        </w:tc>
        <w:tc>
          <w:tcPr>
            <w:tcW w:w="1065" w:type="dxa"/>
            <w:vMerge w:val="restart"/>
            <w:vAlign w:val="center"/>
          </w:tcPr>
          <w:p w14:paraId="440614B2">
            <w:pPr>
              <w:widowControl/>
              <w:spacing w:line="280" w:lineRule="exact"/>
              <w:jc w:val="center"/>
              <w:rPr>
                <w:rFonts w:ascii="宋体" w:hAnsi="宋体" w:cs="宋体"/>
                <w:kern w:val="0"/>
                <w:szCs w:val="21"/>
                <w:highlight w:val="none"/>
              </w:rPr>
            </w:pPr>
            <w:r>
              <w:rPr>
                <w:rFonts w:hint="eastAsia" w:ascii="宋体" w:hAnsi="宋体" w:cs="宋体"/>
                <w:kern w:val="0"/>
                <w:szCs w:val="21"/>
                <w:highlight w:val="none"/>
              </w:rPr>
              <w:t>课程</w:t>
            </w:r>
            <w:r>
              <w:rPr>
                <w:rFonts w:ascii="宋体" w:hAnsi="宋体" w:cs="宋体"/>
                <w:kern w:val="0"/>
                <w:szCs w:val="21"/>
                <w:highlight w:val="none"/>
              </w:rPr>
              <w:t>质量（3</w:t>
            </w:r>
            <w:r>
              <w:rPr>
                <w:rFonts w:hint="eastAsia" w:ascii="宋体" w:hAnsi="宋体" w:cs="宋体"/>
                <w:kern w:val="0"/>
                <w:szCs w:val="21"/>
                <w:highlight w:val="none"/>
              </w:rPr>
              <w:t>0分</w:t>
            </w:r>
            <w:r>
              <w:rPr>
                <w:rFonts w:ascii="宋体" w:hAnsi="宋体" w:cs="宋体"/>
                <w:kern w:val="0"/>
                <w:szCs w:val="21"/>
                <w:highlight w:val="none"/>
              </w:rPr>
              <w:t>）</w:t>
            </w:r>
          </w:p>
        </w:tc>
        <w:tc>
          <w:tcPr>
            <w:tcW w:w="6133" w:type="dxa"/>
            <w:vAlign w:val="center"/>
          </w:tcPr>
          <w:p w14:paraId="5C83FEE8">
            <w:pPr>
              <w:widowControl/>
              <w:spacing w:line="280" w:lineRule="exact"/>
              <w:jc w:val="left"/>
              <w:rPr>
                <w:rFonts w:hint="eastAsia" w:ascii="宋体" w:hAnsi="宋体" w:eastAsiaTheme="minorEastAsia"/>
                <w:szCs w:val="21"/>
                <w:highlight w:val="none"/>
                <w:lang w:eastAsia="zh-CN"/>
              </w:rPr>
            </w:pPr>
            <w:r>
              <w:rPr>
                <w:rFonts w:hint="eastAsia" w:ascii="宋体" w:hAnsi="宋体"/>
                <w:szCs w:val="21"/>
                <w:highlight w:val="none"/>
              </w:rPr>
              <w:t>所提供的服务课程能</w:t>
            </w:r>
            <w:r>
              <w:rPr>
                <w:rFonts w:ascii="宋体" w:hAnsi="宋体"/>
                <w:szCs w:val="21"/>
                <w:highlight w:val="none"/>
              </w:rPr>
              <w:t>响应学校品牌</w:t>
            </w:r>
            <w:r>
              <w:rPr>
                <w:rFonts w:hint="eastAsia" w:ascii="宋体" w:hAnsi="宋体" w:cs="宋体"/>
                <w:bCs/>
                <w:kern w:val="0"/>
                <w:szCs w:val="21"/>
                <w:highlight w:val="none"/>
                <w:lang w:val="en-US" w:eastAsia="zh-CN"/>
              </w:rPr>
              <w:t>社团课程</w:t>
            </w:r>
            <w:r>
              <w:rPr>
                <w:rFonts w:ascii="宋体" w:hAnsi="宋体"/>
                <w:szCs w:val="21"/>
                <w:highlight w:val="none"/>
              </w:rPr>
              <w:t>需求，</w:t>
            </w:r>
            <w:r>
              <w:rPr>
                <w:rFonts w:hint="eastAsia" w:ascii="宋体" w:hAnsi="宋体"/>
                <w:szCs w:val="21"/>
                <w:highlight w:val="none"/>
              </w:rPr>
              <w:t>是体系完备的成熟课程（有明确的、系统的课程目标、课程内容、课程进阶阶段、课程实施、课程评价等），</w:t>
            </w:r>
            <w:r>
              <w:rPr>
                <w:rFonts w:ascii="宋体" w:hAnsi="宋体"/>
                <w:szCs w:val="21"/>
                <w:highlight w:val="none"/>
              </w:rPr>
              <w:t>提供高质量的课程。</w:t>
            </w:r>
            <w:r>
              <w:rPr>
                <w:rFonts w:hint="eastAsia"/>
                <w:lang w:eastAsia="zh-CN"/>
              </w:rPr>
              <w:t>（</w:t>
            </w:r>
            <w:r>
              <w:t>项目实施计划全面、完善，得</w:t>
            </w:r>
            <w:r>
              <w:rPr>
                <w:rFonts w:hint="eastAsia"/>
                <w:lang w:val="en-US" w:eastAsia="zh-CN"/>
              </w:rPr>
              <w:t>10</w:t>
            </w:r>
            <w:r>
              <w:t>分； 项目实施计划较全面、较完善，得</w:t>
            </w:r>
            <w:r>
              <w:rPr>
                <w:rFonts w:hint="eastAsia"/>
                <w:lang w:val="en-US" w:eastAsia="zh-CN"/>
              </w:rPr>
              <w:t>7</w:t>
            </w:r>
            <w:r>
              <w:t>分； 项目实施计划不够详细、不够完善，得</w:t>
            </w:r>
            <w:r>
              <w:rPr>
                <w:rFonts w:hint="eastAsia"/>
                <w:lang w:val="en-US" w:eastAsia="zh-CN"/>
              </w:rPr>
              <w:t>5</w:t>
            </w:r>
            <w:r>
              <w:t>分； 不提供不得分。</w:t>
            </w:r>
            <w:r>
              <w:rPr>
                <w:rFonts w:hint="eastAsia"/>
                <w:lang w:eastAsia="zh-CN"/>
              </w:rPr>
              <w:t>）</w:t>
            </w:r>
          </w:p>
        </w:tc>
        <w:tc>
          <w:tcPr>
            <w:tcW w:w="866" w:type="dxa"/>
            <w:vAlign w:val="center"/>
          </w:tcPr>
          <w:p w14:paraId="47BF075C">
            <w:pPr>
              <w:widowControl/>
              <w:spacing w:line="280" w:lineRule="exact"/>
              <w:jc w:val="center"/>
              <w:rPr>
                <w:rFonts w:ascii="宋体" w:hAnsi="宋体" w:cs="宋体"/>
                <w:kern w:val="0"/>
                <w:szCs w:val="21"/>
                <w:highlight w:val="none"/>
              </w:rPr>
            </w:pPr>
            <w:r>
              <w:rPr>
                <w:rFonts w:hint="eastAsia" w:ascii="宋体" w:hAnsi="宋体" w:cs="宋体"/>
                <w:kern w:val="0"/>
                <w:szCs w:val="21"/>
                <w:highlight w:val="none"/>
              </w:rPr>
              <w:t>10</w:t>
            </w:r>
          </w:p>
        </w:tc>
        <w:tc>
          <w:tcPr>
            <w:tcW w:w="1390" w:type="dxa"/>
            <w:vAlign w:val="center"/>
          </w:tcPr>
          <w:p w14:paraId="675EC579">
            <w:pPr>
              <w:widowControl/>
              <w:spacing w:line="280" w:lineRule="exact"/>
              <w:jc w:val="center"/>
              <w:rPr>
                <w:rFonts w:hint="default" w:ascii="宋体" w:hAnsi="宋体" w:cs="宋体" w:eastAsiaTheme="minorEastAsia"/>
                <w:kern w:val="0"/>
                <w:szCs w:val="21"/>
                <w:highlight w:val="none"/>
                <w:lang w:val="en-US" w:eastAsia="zh-CN"/>
              </w:rPr>
            </w:pPr>
          </w:p>
        </w:tc>
      </w:tr>
      <w:tr w14:paraId="15965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jc w:val="center"/>
        </w:trPr>
        <w:tc>
          <w:tcPr>
            <w:tcW w:w="669" w:type="dxa"/>
            <w:vMerge w:val="continue"/>
            <w:vAlign w:val="center"/>
          </w:tcPr>
          <w:p w14:paraId="6B755D10">
            <w:pPr>
              <w:widowControl/>
              <w:spacing w:line="280" w:lineRule="exact"/>
              <w:jc w:val="center"/>
              <w:rPr>
                <w:rFonts w:ascii="宋体" w:hAnsi="宋体" w:cs="宋体"/>
                <w:kern w:val="0"/>
                <w:szCs w:val="21"/>
                <w:highlight w:val="none"/>
              </w:rPr>
            </w:pPr>
          </w:p>
        </w:tc>
        <w:tc>
          <w:tcPr>
            <w:tcW w:w="1065" w:type="dxa"/>
            <w:vMerge w:val="continue"/>
            <w:vAlign w:val="center"/>
          </w:tcPr>
          <w:p w14:paraId="3E2A7702">
            <w:pPr>
              <w:widowControl/>
              <w:spacing w:line="280" w:lineRule="exact"/>
              <w:jc w:val="center"/>
              <w:rPr>
                <w:rFonts w:ascii="宋体" w:hAnsi="宋体" w:cs="宋体"/>
                <w:kern w:val="0"/>
                <w:szCs w:val="21"/>
                <w:highlight w:val="none"/>
              </w:rPr>
            </w:pPr>
          </w:p>
        </w:tc>
        <w:tc>
          <w:tcPr>
            <w:tcW w:w="6133" w:type="dxa"/>
            <w:vAlign w:val="center"/>
          </w:tcPr>
          <w:p w14:paraId="48783108">
            <w:pPr>
              <w:widowControl/>
              <w:spacing w:line="280" w:lineRule="exact"/>
              <w:jc w:val="left"/>
              <w:rPr>
                <w:rFonts w:ascii="宋体" w:hAnsi="宋体"/>
                <w:szCs w:val="21"/>
                <w:highlight w:val="none"/>
              </w:rPr>
            </w:pPr>
            <w:r>
              <w:rPr>
                <w:rFonts w:hint="eastAsia" w:ascii="宋体" w:hAnsi="宋体"/>
                <w:szCs w:val="21"/>
                <w:highlight w:val="none"/>
              </w:rPr>
              <w:t>所提供的服务课程能</w:t>
            </w:r>
            <w:r>
              <w:rPr>
                <w:rFonts w:ascii="宋体" w:hAnsi="宋体"/>
                <w:szCs w:val="21"/>
                <w:highlight w:val="none"/>
              </w:rPr>
              <w:t>响应学校</w:t>
            </w:r>
            <w:r>
              <w:rPr>
                <w:rFonts w:hint="eastAsia" w:ascii="宋体" w:hAnsi="宋体"/>
                <w:szCs w:val="21"/>
                <w:highlight w:val="none"/>
              </w:rPr>
              <w:t>培优社团</w:t>
            </w:r>
            <w:r>
              <w:rPr>
                <w:rFonts w:ascii="宋体" w:hAnsi="宋体"/>
                <w:szCs w:val="21"/>
                <w:highlight w:val="none"/>
              </w:rPr>
              <w:t>课程需求，</w:t>
            </w:r>
            <w:r>
              <w:rPr>
                <w:rFonts w:hint="eastAsia" w:ascii="宋体" w:hAnsi="宋体"/>
                <w:szCs w:val="21"/>
                <w:highlight w:val="none"/>
              </w:rPr>
              <w:t>是体系完备的成熟课程（有明确的、系统的课程目标、课程内容、课程进阶阶段、课程实施、课程评价等），</w:t>
            </w:r>
            <w:r>
              <w:rPr>
                <w:rFonts w:ascii="宋体" w:hAnsi="宋体"/>
                <w:szCs w:val="21"/>
                <w:highlight w:val="none"/>
              </w:rPr>
              <w:t>提供高质量的课程。</w:t>
            </w:r>
            <w:r>
              <w:rPr>
                <w:rFonts w:hint="eastAsia"/>
                <w:lang w:eastAsia="zh-CN"/>
              </w:rPr>
              <w:t>（</w:t>
            </w:r>
            <w:r>
              <w:t>项目实施计划全面、完善，得</w:t>
            </w:r>
            <w:r>
              <w:rPr>
                <w:rFonts w:hint="eastAsia"/>
                <w:lang w:val="en-US" w:eastAsia="zh-CN"/>
              </w:rPr>
              <w:t>10</w:t>
            </w:r>
            <w:r>
              <w:t>分； 项目实施计划较全面、较完善，得</w:t>
            </w:r>
            <w:r>
              <w:rPr>
                <w:rFonts w:hint="eastAsia"/>
                <w:lang w:val="en-US" w:eastAsia="zh-CN"/>
              </w:rPr>
              <w:t>7</w:t>
            </w:r>
            <w:r>
              <w:t>分； 项目实施计划不够详细、不够完善，得</w:t>
            </w:r>
            <w:r>
              <w:rPr>
                <w:rFonts w:hint="eastAsia"/>
                <w:lang w:val="en-US" w:eastAsia="zh-CN"/>
              </w:rPr>
              <w:t>5</w:t>
            </w:r>
            <w:r>
              <w:t>分； 不提供不得分。</w:t>
            </w:r>
            <w:r>
              <w:rPr>
                <w:rFonts w:hint="eastAsia"/>
                <w:lang w:eastAsia="zh-CN"/>
              </w:rPr>
              <w:t>）</w:t>
            </w:r>
          </w:p>
        </w:tc>
        <w:tc>
          <w:tcPr>
            <w:tcW w:w="866" w:type="dxa"/>
            <w:vAlign w:val="center"/>
          </w:tcPr>
          <w:p w14:paraId="1D692A2A">
            <w:pPr>
              <w:widowControl/>
              <w:spacing w:line="280" w:lineRule="exact"/>
              <w:jc w:val="center"/>
              <w:rPr>
                <w:rFonts w:ascii="宋体" w:hAnsi="宋体" w:cs="宋体"/>
                <w:kern w:val="0"/>
                <w:szCs w:val="21"/>
                <w:highlight w:val="none"/>
              </w:rPr>
            </w:pPr>
            <w:r>
              <w:rPr>
                <w:rFonts w:hint="eastAsia" w:ascii="宋体" w:hAnsi="宋体" w:cs="宋体"/>
                <w:kern w:val="0"/>
                <w:szCs w:val="21"/>
                <w:highlight w:val="none"/>
              </w:rPr>
              <w:t>10</w:t>
            </w:r>
          </w:p>
        </w:tc>
        <w:tc>
          <w:tcPr>
            <w:tcW w:w="1390" w:type="dxa"/>
            <w:vAlign w:val="center"/>
          </w:tcPr>
          <w:p w14:paraId="12E34768">
            <w:pPr>
              <w:widowControl/>
              <w:spacing w:line="280" w:lineRule="exact"/>
              <w:jc w:val="center"/>
              <w:rPr>
                <w:rFonts w:hint="default" w:ascii="宋体" w:hAnsi="宋体" w:cs="宋体" w:eastAsiaTheme="minorEastAsia"/>
                <w:kern w:val="0"/>
                <w:szCs w:val="21"/>
                <w:highlight w:val="none"/>
                <w:lang w:val="en-US" w:eastAsia="zh-CN"/>
              </w:rPr>
            </w:pPr>
          </w:p>
        </w:tc>
      </w:tr>
      <w:tr w14:paraId="16935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669" w:type="dxa"/>
            <w:vMerge w:val="continue"/>
            <w:vAlign w:val="center"/>
          </w:tcPr>
          <w:p w14:paraId="0EC98012">
            <w:pPr>
              <w:widowControl/>
              <w:spacing w:line="280" w:lineRule="exact"/>
              <w:jc w:val="center"/>
              <w:rPr>
                <w:rFonts w:ascii="宋体" w:hAnsi="宋体" w:cs="宋体"/>
                <w:kern w:val="0"/>
                <w:szCs w:val="21"/>
                <w:highlight w:val="none"/>
              </w:rPr>
            </w:pPr>
          </w:p>
        </w:tc>
        <w:tc>
          <w:tcPr>
            <w:tcW w:w="1065" w:type="dxa"/>
            <w:vMerge w:val="continue"/>
            <w:vAlign w:val="center"/>
          </w:tcPr>
          <w:p w14:paraId="3C16FA1C">
            <w:pPr>
              <w:widowControl/>
              <w:spacing w:line="280" w:lineRule="exact"/>
              <w:jc w:val="center"/>
              <w:rPr>
                <w:rFonts w:ascii="宋体" w:hAnsi="宋体" w:cs="宋体"/>
                <w:kern w:val="0"/>
                <w:szCs w:val="21"/>
                <w:highlight w:val="none"/>
              </w:rPr>
            </w:pPr>
          </w:p>
        </w:tc>
        <w:tc>
          <w:tcPr>
            <w:tcW w:w="6133" w:type="dxa"/>
            <w:vAlign w:val="center"/>
          </w:tcPr>
          <w:p w14:paraId="3BBEA414">
            <w:pPr>
              <w:widowControl/>
              <w:spacing w:line="280" w:lineRule="exact"/>
              <w:jc w:val="left"/>
              <w:rPr>
                <w:rFonts w:ascii="宋体" w:hAnsi="宋体"/>
                <w:szCs w:val="21"/>
                <w:highlight w:val="none"/>
              </w:rPr>
            </w:pPr>
            <w:r>
              <w:rPr>
                <w:rFonts w:hint="eastAsia" w:ascii="宋体" w:hAnsi="宋体"/>
                <w:szCs w:val="21"/>
                <w:highlight w:val="none"/>
              </w:rPr>
              <w:t>所提供的服务课程能</w:t>
            </w:r>
            <w:r>
              <w:rPr>
                <w:rFonts w:ascii="宋体" w:hAnsi="宋体"/>
                <w:szCs w:val="21"/>
                <w:highlight w:val="none"/>
              </w:rPr>
              <w:t>响应学校</w:t>
            </w:r>
            <w:r>
              <w:rPr>
                <w:rFonts w:hint="eastAsia" w:ascii="宋体" w:hAnsi="宋体"/>
                <w:szCs w:val="21"/>
                <w:highlight w:val="none"/>
              </w:rPr>
              <w:t>兴趣</w:t>
            </w:r>
            <w:r>
              <w:rPr>
                <w:rFonts w:ascii="宋体" w:hAnsi="宋体"/>
                <w:szCs w:val="21"/>
                <w:highlight w:val="none"/>
              </w:rPr>
              <w:t>课程需求，</w:t>
            </w:r>
            <w:r>
              <w:rPr>
                <w:rFonts w:hint="eastAsia" w:ascii="宋体" w:hAnsi="宋体"/>
                <w:szCs w:val="21"/>
                <w:highlight w:val="none"/>
              </w:rPr>
              <w:t>是体系完备的成熟课程（有明确的、系统的课程目标、课程内容、课程进阶阶段、课程实施、课程评价等），</w:t>
            </w:r>
            <w:r>
              <w:rPr>
                <w:rFonts w:ascii="宋体" w:hAnsi="宋体"/>
                <w:szCs w:val="21"/>
                <w:highlight w:val="none"/>
              </w:rPr>
              <w:t>提供高质量的课程。</w:t>
            </w:r>
            <w:r>
              <w:rPr>
                <w:rFonts w:hint="eastAsia"/>
                <w:lang w:eastAsia="zh-CN"/>
              </w:rPr>
              <w:t>（</w:t>
            </w:r>
            <w:r>
              <w:t>项目实施计划全面、完善，得</w:t>
            </w:r>
            <w:r>
              <w:rPr>
                <w:rFonts w:hint="eastAsia"/>
                <w:lang w:val="en-US" w:eastAsia="zh-CN"/>
              </w:rPr>
              <w:t>10</w:t>
            </w:r>
            <w:r>
              <w:t>分； 项目实施计划较全面、较完善，得</w:t>
            </w:r>
            <w:r>
              <w:rPr>
                <w:rFonts w:hint="eastAsia"/>
                <w:lang w:val="en-US" w:eastAsia="zh-CN"/>
              </w:rPr>
              <w:t>7</w:t>
            </w:r>
            <w:r>
              <w:t>分； 项目实施计划不够详细、不够完善，得</w:t>
            </w:r>
            <w:r>
              <w:rPr>
                <w:rFonts w:hint="eastAsia"/>
                <w:lang w:val="en-US" w:eastAsia="zh-CN"/>
              </w:rPr>
              <w:t>5</w:t>
            </w:r>
            <w:r>
              <w:t>分； 不提供不得分。</w:t>
            </w:r>
            <w:r>
              <w:rPr>
                <w:rFonts w:hint="eastAsia"/>
                <w:lang w:eastAsia="zh-CN"/>
              </w:rPr>
              <w:t>）</w:t>
            </w:r>
          </w:p>
        </w:tc>
        <w:tc>
          <w:tcPr>
            <w:tcW w:w="866" w:type="dxa"/>
            <w:vAlign w:val="center"/>
          </w:tcPr>
          <w:p w14:paraId="49245FC4">
            <w:pPr>
              <w:widowControl/>
              <w:spacing w:line="280" w:lineRule="exact"/>
              <w:jc w:val="center"/>
              <w:rPr>
                <w:rFonts w:ascii="宋体" w:hAnsi="宋体" w:cs="宋体"/>
                <w:kern w:val="0"/>
                <w:szCs w:val="21"/>
                <w:highlight w:val="none"/>
              </w:rPr>
            </w:pPr>
            <w:r>
              <w:rPr>
                <w:rFonts w:ascii="宋体" w:hAnsi="宋体" w:cs="宋体"/>
                <w:kern w:val="0"/>
                <w:szCs w:val="21"/>
                <w:highlight w:val="none"/>
              </w:rPr>
              <w:t>10</w:t>
            </w:r>
          </w:p>
        </w:tc>
        <w:tc>
          <w:tcPr>
            <w:tcW w:w="1390" w:type="dxa"/>
            <w:vAlign w:val="center"/>
          </w:tcPr>
          <w:p w14:paraId="47A297DA">
            <w:pPr>
              <w:widowControl/>
              <w:spacing w:line="280" w:lineRule="exact"/>
              <w:jc w:val="center"/>
              <w:rPr>
                <w:rFonts w:hint="default" w:ascii="宋体" w:hAnsi="宋体" w:cs="宋体" w:eastAsiaTheme="minorEastAsia"/>
                <w:kern w:val="0"/>
                <w:szCs w:val="21"/>
                <w:highlight w:val="none"/>
                <w:lang w:val="en-US" w:eastAsia="zh-CN"/>
              </w:rPr>
            </w:pPr>
          </w:p>
        </w:tc>
      </w:tr>
      <w:tr w14:paraId="7DD29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69" w:type="dxa"/>
            <w:vMerge w:val="continue"/>
            <w:vAlign w:val="center"/>
          </w:tcPr>
          <w:p w14:paraId="3D229EAC">
            <w:pPr>
              <w:widowControl/>
              <w:spacing w:line="280" w:lineRule="exact"/>
              <w:jc w:val="center"/>
              <w:rPr>
                <w:rFonts w:hint="eastAsia" w:ascii="宋体" w:hAnsi="宋体" w:cs="宋体"/>
                <w:kern w:val="0"/>
                <w:szCs w:val="21"/>
                <w:highlight w:val="none"/>
              </w:rPr>
            </w:pPr>
          </w:p>
        </w:tc>
        <w:tc>
          <w:tcPr>
            <w:tcW w:w="1065" w:type="dxa"/>
            <w:vMerge w:val="restart"/>
            <w:vAlign w:val="center"/>
          </w:tcPr>
          <w:p w14:paraId="3C29E886">
            <w:pPr>
              <w:widowControl/>
              <w:spacing w:line="280" w:lineRule="exact"/>
              <w:jc w:val="center"/>
              <w:rPr>
                <w:rFonts w:ascii="宋体" w:hAnsi="宋体" w:cs="宋体"/>
                <w:kern w:val="0"/>
                <w:szCs w:val="21"/>
                <w:highlight w:val="none"/>
              </w:rPr>
            </w:pPr>
            <w:r>
              <w:rPr>
                <w:rFonts w:hint="eastAsia" w:ascii="宋体" w:hAnsi="宋体" w:cs="宋体"/>
                <w:kern w:val="0"/>
                <w:szCs w:val="21"/>
                <w:highlight w:val="none"/>
              </w:rPr>
              <w:t>师资</w:t>
            </w:r>
            <w:r>
              <w:rPr>
                <w:rFonts w:ascii="宋体" w:hAnsi="宋体" w:cs="宋体"/>
                <w:kern w:val="0"/>
                <w:szCs w:val="21"/>
                <w:highlight w:val="none"/>
              </w:rPr>
              <w:t>质量</w:t>
            </w:r>
            <w:r>
              <w:rPr>
                <w:rFonts w:hint="eastAsia" w:ascii="宋体" w:hAnsi="宋体" w:cs="宋体"/>
                <w:kern w:val="0"/>
                <w:szCs w:val="21"/>
                <w:highlight w:val="none"/>
              </w:rPr>
              <w:t>（</w:t>
            </w:r>
            <w:r>
              <w:rPr>
                <w:rFonts w:hint="eastAsia" w:ascii="宋体" w:hAnsi="宋体" w:cs="宋体"/>
                <w:kern w:val="0"/>
                <w:szCs w:val="21"/>
                <w:highlight w:val="none"/>
                <w:lang w:val="en-US" w:eastAsia="zh-CN"/>
              </w:rPr>
              <w:t>2</w:t>
            </w:r>
            <w:r>
              <w:rPr>
                <w:rFonts w:ascii="宋体" w:hAnsi="宋体" w:cs="宋体"/>
                <w:kern w:val="0"/>
                <w:szCs w:val="21"/>
                <w:highlight w:val="none"/>
              </w:rPr>
              <w:t>5</w:t>
            </w:r>
            <w:r>
              <w:rPr>
                <w:rFonts w:hint="eastAsia" w:ascii="宋体" w:hAnsi="宋体" w:cs="宋体"/>
                <w:kern w:val="0"/>
                <w:szCs w:val="21"/>
                <w:highlight w:val="none"/>
              </w:rPr>
              <w:t>分）</w:t>
            </w:r>
          </w:p>
        </w:tc>
        <w:tc>
          <w:tcPr>
            <w:tcW w:w="6133" w:type="dxa"/>
            <w:vAlign w:val="center"/>
          </w:tcPr>
          <w:p w14:paraId="684F5930">
            <w:pPr>
              <w:widowControl/>
              <w:spacing w:line="280" w:lineRule="exact"/>
              <w:jc w:val="left"/>
              <w:rPr>
                <w:rFonts w:hint="eastAsia" w:ascii="宋体" w:hAnsi="宋体"/>
                <w:szCs w:val="21"/>
                <w:highlight w:val="none"/>
              </w:rPr>
            </w:pPr>
            <w:r>
              <w:rPr>
                <w:rFonts w:hint="eastAsia" w:ascii="宋体" w:hAnsi="宋体"/>
                <w:szCs w:val="21"/>
                <w:highlight w:val="none"/>
              </w:rPr>
              <w:t>授课教师须持有从教资格证，身心健康，教学组织能力强。</w:t>
            </w:r>
          </w:p>
          <w:p w14:paraId="328A4F37">
            <w:pPr>
              <w:widowControl/>
              <w:spacing w:line="280" w:lineRule="exact"/>
              <w:jc w:val="left"/>
              <w:rPr>
                <w:rFonts w:hint="eastAsia" w:ascii="宋体" w:hAnsi="宋体"/>
                <w:szCs w:val="21"/>
                <w:highlight w:val="none"/>
                <w:lang w:eastAsia="zh-CN"/>
              </w:rPr>
            </w:pPr>
            <w:r>
              <w:rPr>
                <w:rFonts w:hint="eastAsia" w:ascii="仿宋" w:hAnsi="仿宋" w:eastAsia="仿宋"/>
                <w:sz w:val="28"/>
                <w:szCs w:val="32"/>
                <w:highlight w:val="none"/>
              </w:rPr>
              <w:t>*</w:t>
            </w:r>
            <w:r>
              <w:rPr>
                <w:rFonts w:hint="eastAsia" w:ascii="宋体" w:hAnsi="宋体"/>
                <w:szCs w:val="21"/>
                <w:highlight w:val="none"/>
              </w:rPr>
              <w:t>无违反师风师德的不良记录，无意识形态错误，实行一票</w:t>
            </w:r>
            <w:r>
              <w:rPr>
                <w:rFonts w:ascii="宋体" w:hAnsi="宋体"/>
                <w:szCs w:val="21"/>
                <w:highlight w:val="none"/>
              </w:rPr>
              <w:t>否决。</w:t>
            </w:r>
            <w:r>
              <w:rPr>
                <w:rFonts w:hint="eastAsia" w:ascii="宋体" w:hAnsi="宋体"/>
                <w:szCs w:val="21"/>
                <w:highlight w:val="none"/>
                <w:lang w:val="en-US" w:eastAsia="zh-CN"/>
              </w:rPr>
              <w:t>（每提供本单位从教资格证一位得2分，最高20分，无提供不得分</w:t>
            </w:r>
            <w:r>
              <w:rPr>
                <w:rFonts w:hint="eastAsia" w:ascii="宋体" w:hAnsi="宋体"/>
                <w:szCs w:val="21"/>
                <w:highlight w:val="none"/>
                <w:lang w:eastAsia="zh-CN"/>
              </w:rPr>
              <w:t>）</w:t>
            </w:r>
          </w:p>
        </w:tc>
        <w:tc>
          <w:tcPr>
            <w:tcW w:w="866" w:type="dxa"/>
            <w:vAlign w:val="center"/>
          </w:tcPr>
          <w:p w14:paraId="32B336B9">
            <w:pPr>
              <w:widowControl/>
              <w:spacing w:line="280" w:lineRule="exact"/>
              <w:jc w:val="center"/>
              <w:rPr>
                <w:rFonts w:hint="default" w:ascii="宋体" w:hAnsi="宋体" w:cs="宋体" w:eastAsiaTheme="minorEastAsia"/>
                <w:kern w:val="0"/>
                <w:szCs w:val="21"/>
                <w:highlight w:val="none"/>
                <w:lang w:val="en-US" w:eastAsia="zh-CN"/>
              </w:rPr>
            </w:pPr>
            <w:r>
              <w:rPr>
                <w:rFonts w:hint="eastAsia" w:ascii="宋体" w:hAnsi="宋体" w:cs="宋体"/>
                <w:kern w:val="0"/>
                <w:szCs w:val="21"/>
                <w:highlight w:val="none"/>
                <w:lang w:val="en-US" w:eastAsia="zh-CN"/>
              </w:rPr>
              <w:t>20</w:t>
            </w:r>
          </w:p>
        </w:tc>
        <w:tc>
          <w:tcPr>
            <w:tcW w:w="1390" w:type="dxa"/>
            <w:vAlign w:val="center"/>
          </w:tcPr>
          <w:p w14:paraId="356CEFCB">
            <w:pPr>
              <w:widowControl/>
              <w:spacing w:line="280" w:lineRule="exact"/>
              <w:jc w:val="center"/>
              <w:rPr>
                <w:rFonts w:hint="default" w:ascii="宋体" w:hAnsi="宋体" w:cs="宋体" w:eastAsiaTheme="minorEastAsia"/>
                <w:kern w:val="0"/>
                <w:szCs w:val="21"/>
                <w:highlight w:val="none"/>
                <w:lang w:val="en-US" w:eastAsia="zh-CN"/>
              </w:rPr>
            </w:pPr>
          </w:p>
        </w:tc>
      </w:tr>
      <w:tr w14:paraId="45FC7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669" w:type="dxa"/>
            <w:vMerge w:val="continue"/>
            <w:vAlign w:val="center"/>
          </w:tcPr>
          <w:p w14:paraId="0B5AD0FD">
            <w:pPr>
              <w:widowControl/>
              <w:spacing w:line="280" w:lineRule="exact"/>
              <w:jc w:val="center"/>
              <w:rPr>
                <w:rFonts w:ascii="宋体" w:hAnsi="宋体" w:cs="宋体"/>
                <w:kern w:val="0"/>
                <w:szCs w:val="21"/>
                <w:highlight w:val="none"/>
              </w:rPr>
            </w:pPr>
          </w:p>
        </w:tc>
        <w:tc>
          <w:tcPr>
            <w:tcW w:w="1065" w:type="dxa"/>
            <w:vMerge w:val="continue"/>
            <w:vAlign w:val="center"/>
          </w:tcPr>
          <w:p w14:paraId="0D875758">
            <w:pPr>
              <w:widowControl/>
              <w:spacing w:line="280" w:lineRule="exact"/>
              <w:jc w:val="center"/>
              <w:rPr>
                <w:rFonts w:ascii="宋体" w:hAnsi="宋体" w:cs="宋体"/>
                <w:kern w:val="0"/>
                <w:szCs w:val="21"/>
                <w:highlight w:val="none"/>
              </w:rPr>
            </w:pPr>
          </w:p>
        </w:tc>
        <w:tc>
          <w:tcPr>
            <w:tcW w:w="6133" w:type="dxa"/>
            <w:vAlign w:val="center"/>
          </w:tcPr>
          <w:p w14:paraId="3742818F">
            <w:pPr>
              <w:widowControl/>
              <w:spacing w:line="280" w:lineRule="exact"/>
              <w:jc w:val="left"/>
              <w:rPr>
                <w:rFonts w:ascii="宋体" w:hAnsi="宋体"/>
                <w:szCs w:val="21"/>
                <w:highlight w:val="none"/>
              </w:rPr>
            </w:pPr>
            <w:r>
              <w:rPr>
                <w:rFonts w:hint="eastAsia" w:ascii="宋体" w:hAnsi="宋体"/>
                <w:szCs w:val="21"/>
                <w:highlight w:val="none"/>
              </w:rPr>
              <w:t>有稳定的、较优秀的师资团队，授课教师至少能承担一个课程周期（一年）的课程实施。提供</w:t>
            </w:r>
            <w:r>
              <w:rPr>
                <w:rFonts w:ascii="宋体" w:hAnsi="宋体"/>
                <w:szCs w:val="21"/>
                <w:highlight w:val="none"/>
              </w:rPr>
              <w:t>签约教师</w:t>
            </w:r>
            <w:r>
              <w:rPr>
                <w:rFonts w:hint="eastAsia" w:ascii="宋体" w:hAnsi="宋体"/>
                <w:szCs w:val="21"/>
                <w:highlight w:val="none"/>
              </w:rPr>
              <w:t>资料清单</w:t>
            </w:r>
            <w:r>
              <w:rPr>
                <w:rFonts w:ascii="宋体" w:hAnsi="宋体"/>
                <w:szCs w:val="21"/>
                <w:highlight w:val="none"/>
              </w:rPr>
              <w:t>，每一个教师</w:t>
            </w:r>
            <w:r>
              <w:rPr>
                <w:rFonts w:hint="eastAsia" w:ascii="宋体" w:hAnsi="宋体"/>
                <w:szCs w:val="21"/>
                <w:highlight w:val="none"/>
              </w:rPr>
              <w:t>0.</w:t>
            </w:r>
            <w:r>
              <w:rPr>
                <w:rFonts w:hint="eastAsia" w:ascii="宋体" w:hAnsi="宋体"/>
                <w:szCs w:val="21"/>
                <w:highlight w:val="none"/>
                <w:lang w:val="en-US" w:eastAsia="zh-CN"/>
              </w:rPr>
              <w:t>2</w:t>
            </w:r>
            <w:r>
              <w:rPr>
                <w:rFonts w:hint="eastAsia" w:ascii="宋体" w:hAnsi="宋体"/>
                <w:szCs w:val="21"/>
                <w:highlight w:val="none"/>
              </w:rPr>
              <w:t>分</w:t>
            </w:r>
            <w:r>
              <w:rPr>
                <w:rFonts w:ascii="宋体" w:hAnsi="宋体"/>
                <w:szCs w:val="21"/>
                <w:highlight w:val="none"/>
              </w:rPr>
              <w:t>，总分不超过5</w:t>
            </w:r>
            <w:r>
              <w:rPr>
                <w:rFonts w:hint="eastAsia" w:ascii="宋体" w:hAnsi="宋体"/>
                <w:szCs w:val="21"/>
                <w:highlight w:val="none"/>
              </w:rPr>
              <w:t>分。</w:t>
            </w:r>
          </w:p>
        </w:tc>
        <w:tc>
          <w:tcPr>
            <w:tcW w:w="866" w:type="dxa"/>
            <w:vAlign w:val="center"/>
          </w:tcPr>
          <w:p w14:paraId="2658000E">
            <w:pPr>
              <w:widowControl/>
              <w:spacing w:line="280" w:lineRule="exact"/>
              <w:jc w:val="center"/>
              <w:rPr>
                <w:rFonts w:ascii="宋体" w:hAnsi="宋体" w:cs="宋体"/>
                <w:kern w:val="0"/>
                <w:szCs w:val="21"/>
                <w:highlight w:val="none"/>
              </w:rPr>
            </w:pPr>
            <w:r>
              <w:rPr>
                <w:rFonts w:ascii="宋体" w:hAnsi="宋体" w:cs="宋体"/>
                <w:kern w:val="0"/>
                <w:szCs w:val="21"/>
                <w:highlight w:val="none"/>
              </w:rPr>
              <w:t>5</w:t>
            </w:r>
          </w:p>
        </w:tc>
        <w:tc>
          <w:tcPr>
            <w:tcW w:w="1390" w:type="dxa"/>
            <w:vAlign w:val="center"/>
          </w:tcPr>
          <w:p w14:paraId="3BA4209F">
            <w:pPr>
              <w:widowControl/>
              <w:spacing w:line="280" w:lineRule="exact"/>
              <w:jc w:val="center"/>
              <w:rPr>
                <w:rFonts w:hint="eastAsia" w:ascii="宋体" w:hAnsi="宋体" w:cs="宋体" w:eastAsiaTheme="minorEastAsia"/>
                <w:kern w:val="0"/>
                <w:szCs w:val="21"/>
                <w:highlight w:val="none"/>
                <w:lang w:val="en-US" w:eastAsia="zh-CN"/>
              </w:rPr>
            </w:pPr>
          </w:p>
        </w:tc>
      </w:tr>
      <w:tr w14:paraId="5F84C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669" w:type="dxa"/>
            <w:vMerge w:val="continue"/>
            <w:vAlign w:val="center"/>
          </w:tcPr>
          <w:p w14:paraId="10C561FF">
            <w:pPr>
              <w:widowControl/>
              <w:spacing w:line="280" w:lineRule="exact"/>
              <w:jc w:val="center"/>
              <w:rPr>
                <w:rFonts w:hint="eastAsia" w:hAnsi="宋体"/>
                <w:color w:val="000000"/>
                <w:kern w:val="0"/>
                <w:szCs w:val="21"/>
                <w:highlight w:val="none"/>
              </w:rPr>
            </w:pPr>
          </w:p>
        </w:tc>
        <w:tc>
          <w:tcPr>
            <w:tcW w:w="1065" w:type="dxa"/>
            <w:vMerge w:val="restart"/>
            <w:vAlign w:val="center"/>
          </w:tcPr>
          <w:p w14:paraId="2EBA9633">
            <w:pPr>
              <w:widowControl/>
              <w:spacing w:line="280" w:lineRule="exact"/>
              <w:jc w:val="center"/>
              <w:rPr>
                <w:rFonts w:hAnsi="宋体"/>
                <w:color w:val="000000"/>
                <w:kern w:val="0"/>
                <w:szCs w:val="21"/>
                <w:highlight w:val="none"/>
              </w:rPr>
            </w:pPr>
            <w:r>
              <w:rPr>
                <w:rFonts w:hint="eastAsia" w:hAnsi="宋体"/>
                <w:color w:val="000000"/>
                <w:kern w:val="0"/>
                <w:szCs w:val="21"/>
                <w:highlight w:val="none"/>
              </w:rPr>
              <w:t>管理</w:t>
            </w:r>
            <w:r>
              <w:rPr>
                <w:rFonts w:hAnsi="宋体"/>
                <w:color w:val="000000"/>
                <w:kern w:val="0"/>
                <w:szCs w:val="21"/>
                <w:highlight w:val="none"/>
              </w:rPr>
              <w:t>质量</w:t>
            </w:r>
            <w:r>
              <w:rPr>
                <w:rFonts w:hint="eastAsia" w:hAnsi="宋体"/>
                <w:color w:val="000000"/>
                <w:kern w:val="0"/>
                <w:szCs w:val="21"/>
                <w:highlight w:val="none"/>
              </w:rPr>
              <w:t>（</w:t>
            </w:r>
            <w:r>
              <w:rPr>
                <w:rFonts w:hint="eastAsia" w:hAnsi="宋体"/>
                <w:color w:val="000000"/>
                <w:kern w:val="0"/>
                <w:szCs w:val="21"/>
                <w:highlight w:val="none"/>
                <w:lang w:val="en-US" w:eastAsia="zh-CN"/>
              </w:rPr>
              <w:t>2</w:t>
            </w:r>
            <w:r>
              <w:rPr>
                <w:rFonts w:hint="eastAsia" w:hAnsi="宋体"/>
                <w:color w:val="000000"/>
                <w:kern w:val="0"/>
                <w:szCs w:val="21"/>
                <w:highlight w:val="none"/>
              </w:rPr>
              <w:t>5分）</w:t>
            </w:r>
          </w:p>
        </w:tc>
        <w:tc>
          <w:tcPr>
            <w:tcW w:w="6133" w:type="dxa"/>
            <w:vAlign w:val="center"/>
          </w:tcPr>
          <w:p w14:paraId="52F2C1C4">
            <w:pPr>
              <w:widowControl/>
              <w:numPr>
                <w:ilvl w:val="255"/>
                <w:numId w:val="0"/>
              </w:numPr>
              <w:spacing w:line="280" w:lineRule="exact"/>
              <w:jc w:val="left"/>
              <w:rPr>
                <w:rFonts w:hAnsi="宋体"/>
                <w:color w:val="000000"/>
                <w:kern w:val="0"/>
                <w:szCs w:val="21"/>
                <w:highlight w:val="none"/>
              </w:rPr>
            </w:pPr>
            <w:r>
              <w:rPr>
                <w:rFonts w:hint="eastAsia" w:hAnsi="宋体"/>
                <w:color w:val="000000"/>
                <w:kern w:val="0"/>
                <w:szCs w:val="21"/>
                <w:highlight w:val="none"/>
              </w:rPr>
              <w:t>每校按不低于1:4（教师与日课程数比）的比例派驻驻校管理团队。符合</w:t>
            </w:r>
            <w:r>
              <w:rPr>
                <w:rFonts w:hAnsi="宋体"/>
                <w:color w:val="000000"/>
                <w:kern w:val="0"/>
                <w:szCs w:val="21"/>
                <w:highlight w:val="none"/>
              </w:rPr>
              <w:t>条件</w:t>
            </w:r>
            <w:r>
              <w:rPr>
                <w:rFonts w:hint="eastAsia" w:hAnsi="宋体"/>
                <w:color w:val="000000"/>
                <w:kern w:val="0"/>
                <w:szCs w:val="21"/>
                <w:highlight w:val="none"/>
              </w:rPr>
              <w:t>得</w:t>
            </w:r>
            <w:r>
              <w:rPr>
                <w:rFonts w:hAnsi="宋体"/>
                <w:color w:val="000000"/>
                <w:kern w:val="0"/>
                <w:szCs w:val="21"/>
                <w:highlight w:val="none"/>
              </w:rPr>
              <w:t>2</w:t>
            </w:r>
            <w:r>
              <w:rPr>
                <w:rFonts w:hint="eastAsia" w:hAnsi="宋体"/>
                <w:color w:val="000000"/>
                <w:kern w:val="0"/>
                <w:szCs w:val="21"/>
                <w:highlight w:val="none"/>
              </w:rPr>
              <w:t>分</w:t>
            </w:r>
            <w:r>
              <w:rPr>
                <w:rFonts w:hAnsi="宋体"/>
                <w:color w:val="000000"/>
                <w:kern w:val="0"/>
                <w:szCs w:val="21"/>
                <w:highlight w:val="none"/>
              </w:rPr>
              <w:t>，</w:t>
            </w:r>
            <w:r>
              <w:rPr>
                <w:rFonts w:hint="eastAsia" w:hAnsi="宋体"/>
                <w:color w:val="000000"/>
                <w:kern w:val="0"/>
                <w:szCs w:val="21"/>
                <w:highlight w:val="none"/>
              </w:rPr>
              <w:t>按比例</w:t>
            </w:r>
            <w:r>
              <w:rPr>
                <w:rFonts w:hAnsi="宋体"/>
                <w:color w:val="000000"/>
                <w:kern w:val="0"/>
                <w:szCs w:val="21"/>
                <w:highlight w:val="none"/>
              </w:rPr>
              <w:t>每</w:t>
            </w:r>
            <w:r>
              <w:rPr>
                <w:rFonts w:hint="eastAsia" w:hAnsi="宋体"/>
                <w:color w:val="000000"/>
                <w:kern w:val="0"/>
                <w:szCs w:val="21"/>
                <w:highlight w:val="none"/>
              </w:rPr>
              <w:t>新增1人加1分，</w:t>
            </w:r>
            <w:r>
              <w:rPr>
                <w:rFonts w:hAnsi="宋体"/>
                <w:color w:val="000000"/>
                <w:kern w:val="0"/>
                <w:szCs w:val="21"/>
                <w:highlight w:val="none"/>
              </w:rPr>
              <w:t>总分不超过</w:t>
            </w:r>
            <w:r>
              <w:rPr>
                <w:rFonts w:hint="eastAsia" w:hAnsi="宋体"/>
                <w:color w:val="000000"/>
                <w:kern w:val="0"/>
                <w:szCs w:val="21"/>
                <w:highlight w:val="none"/>
                <w:lang w:val="en-US" w:eastAsia="zh-CN"/>
              </w:rPr>
              <w:t>4</w:t>
            </w:r>
            <w:r>
              <w:rPr>
                <w:rFonts w:hint="eastAsia" w:hAnsi="宋体"/>
                <w:color w:val="000000"/>
                <w:kern w:val="0"/>
                <w:szCs w:val="21"/>
                <w:highlight w:val="none"/>
              </w:rPr>
              <w:t>分</w:t>
            </w:r>
            <w:r>
              <w:rPr>
                <w:rFonts w:hAnsi="宋体"/>
                <w:color w:val="000000"/>
                <w:kern w:val="0"/>
                <w:szCs w:val="21"/>
                <w:highlight w:val="none"/>
              </w:rPr>
              <w:t>。</w:t>
            </w:r>
          </w:p>
        </w:tc>
        <w:tc>
          <w:tcPr>
            <w:tcW w:w="866" w:type="dxa"/>
            <w:vAlign w:val="center"/>
          </w:tcPr>
          <w:p w14:paraId="48970278">
            <w:pPr>
              <w:widowControl/>
              <w:spacing w:line="280" w:lineRule="exact"/>
              <w:jc w:val="center"/>
              <w:rPr>
                <w:rFonts w:hint="eastAsia" w:ascii="宋体" w:hAnsi="宋体" w:cs="宋体" w:eastAsiaTheme="minorEastAsia"/>
                <w:kern w:val="0"/>
                <w:szCs w:val="21"/>
                <w:highlight w:val="none"/>
                <w:lang w:eastAsia="zh-CN"/>
              </w:rPr>
            </w:pPr>
            <w:r>
              <w:rPr>
                <w:rFonts w:hint="eastAsia" w:ascii="宋体" w:hAnsi="宋体" w:cs="宋体"/>
                <w:kern w:val="0"/>
                <w:szCs w:val="21"/>
                <w:highlight w:val="none"/>
                <w:lang w:val="en-US" w:eastAsia="zh-CN"/>
              </w:rPr>
              <w:t>4</w:t>
            </w:r>
          </w:p>
        </w:tc>
        <w:tc>
          <w:tcPr>
            <w:tcW w:w="1390" w:type="dxa"/>
            <w:vAlign w:val="center"/>
          </w:tcPr>
          <w:p w14:paraId="38DC2C20">
            <w:pPr>
              <w:widowControl/>
              <w:spacing w:line="280" w:lineRule="exact"/>
              <w:jc w:val="center"/>
              <w:rPr>
                <w:rFonts w:hint="eastAsia" w:ascii="宋体" w:hAnsi="宋体" w:cs="宋体" w:eastAsiaTheme="minorEastAsia"/>
                <w:kern w:val="0"/>
                <w:szCs w:val="21"/>
                <w:highlight w:val="none"/>
                <w:lang w:val="en-US" w:eastAsia="zh-CN"/>
              </w:rPr>
            </w:pPr>
          </w:p>
        </w:tc>
      </w:tr>
      <w:tr w14:paraId="5B1FA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669" w:type="dxa"/>
            <w:vMerge w:val="continue"/>
            <w:vAlign w:val="center"/>
          </w:tcPr>
          <w:p w14:paraId="055D0376">
            <w:pPr>
              <w:widowControl/>
              <w:spacing w:line="280" w:lineRule="exact"/>
              <w:jc w:val="center"/>
              <w:rPr>
                <w:rFonts w:hAnsi="宋体"/>
                <w:color w:val="000000"/>
                <w:kern w:val="0"/>
                <w:szCs w:val="21"/>
                <w:highlight w:val="none"/>
              </w:rPr>
            </w:pPr>
          </w:p>
        </w:tc>
        <w:tc>
          <w:tcPr>
            <w:tcW w:w="1065" w:type="dxa"/>
            <w:vMerge w:val="continue"/>
            <w:vAlign w:val="center"/>
          </w:tcPr>
          <w:p w14:paraId="4F163E53">
            <w:pPr>
              <w:widowControl/>
              <w:spacing w:line="280" w:lineRule="exact"/>
              <w:jc w:val="center"/>
              <w:rPr>
                <w:rFonts w:hAnsi="宋体"/>
                <w:color w:val="000000"/>
                <w:kern w:val="0"/>
                <w:szCs w:val="21"/>
                <w:highlight w:val="none"/>
              </w:rPr>
            </w:pPr>
          </w:p>
        </w:tc>
        <w:tc>
          <w:tcPr>
            <w:tcW w:w="6133" w:type="dxa"/>
            <w:vAlign w:val="center"/>
          </w:tcPr>
          <w:p w14:paraId="4F626DD1">
            <w:pPr>
              <w:widowControl/>
              <w:numPr>
                <w:ilvl w:val="255"/>
                <w:numId w:val="0"/>
              </w:numPr>
              <w:spacing w:line="280" w:lineRule="exact"/>
              <w:jc w:val="left"/>
              <w:rPr>
                <w:rFonts w:hint="default" w:hAnsi="宋体" w:eastAsiaTheme="minorEastAsia"/>
                <w:color w:val="000000"/>
                <w:kern w:val="0"/>
                <w:szCs w:val="21"/>
                <w:highlight w:val="none"/>
                <w:lang w:val="en-US" w:eastAsia="zh-CN"/>
              </w:rPr>
            </w:pPr>
            <w:r>
              <w:rPr>
                <w:rFonts w:hint="eastAsia" w:hAnsi="宋体"/>
                <w:color w:val="000000"/>
                <w:kern w:val="0"/>
                <w:szCs w:val="21"/>
                <w:highlight w:val="none"/>
              </w:rPr>
              <w:t>驻校管理团队至少有1名具备课程实施评估能力的教学总监</w:t>
            </w:r>
            <w:r>
              <w:rPr>
                <w:rFonts w:hint="eastAsia" w:hAnsi="宋体"/>
                <w:color w:val="000000"/>
                <w:kern w:val="0"/>
                <w:szCs w:val="21"/>
                <w:highlight w:val="none"/>
                <w:lang w:eastAsia="zh-CN"/>
              </w:rPr>
              <w:t>，</w:t>
            </w:r>
            <w:r>
              <w:rPr>
                <w:rFonts w:hint="eastAsia" w:hAnsi="宋体"/>
                <w:color w:val="000000"/>
                <w:kern w:val="0"/>
                <w:szCs w:val="21"/>
                <w:highlight w:val="none"/>
                <w:lang w:val="en-US" w:eastAsia="zh-CN"/>
              </w:rPr>
              <w:t>具备中小学一级专业技术职称，符合条件得4分</w:t>
            </w:r>
            <w:r>
              <w:rPr>
                <w:rFonts w:hint="eastAsia" w:hAnsi="宋体"/>
                <w:color w:val="000000"/>
                <w:kern w:val="0"/>
                <w:szCs w:val="21"/>
                <w:highlight w:val="none"/>
              </w:rPr>
              <w:t>。</w:t>
            </w:r>
            <w:r>
              <w:rPr>
                <w:rFonts w:hint="eastAsia" w:hAnsi="宋体"/>
                <w:color w:val="000000"/>
                <w:kern w:val="0"/>
                <w:szCs w:val="21"/>
                <w:highlight w:val="none"/>
                <w:lang w:val="en-US" w:eastAsia="zh-CN"/>
              </w:rPr>
              <w:t>教学总监曾担任公办学校行政管理工作，另加4分。</w:t>
            </w:r>
          </w:p>
        </w:tc>
        <w:tc>
          <w:tcPr>
            <w:tcW w:w="866" w:type="dxa"/>
            <w:vAlign w:val="center"/>
          </w:tcPr>
          <w:p w14:paraId="4BE5134C">
            <w:pPr>
              <w:widowControl/>
              <w:spacing w:line="280" w:lineRule="exact"/>
              <w:jc w:val="center"/>
              <w:rPr>
                <w:rFonts w:hint="eastAsia" w:ascii="宋体" w:hAnsi="宋体" w:cs="宋体" w:eastAsiaTheme="minorEastAsia"/>
                <w:kern w:val="0"/>
                <w:szCs w:val="21"/>
                <w:highlight w:val="none"/>
                <w:lang w:eastAsia="zh-CN"/>
              </w:rPr>
            </w:pPr>
            <w:r>
              <w:rPr>
                <w:rFonts w:hint="eastAsia" w:ascii="宋体" w:hAnsi="宋体" w:cs="宋体"/>
                <w:kern w:val="0"/>
                <w:szCs w:val="21"/>
                <w:highlight w:val="none"/>
                <w:lang w:val="en-US" w:eastAsia="zh-CN"/>
              </w:rPr>
              <w:t>8</w:t>
            </w:r>
          </w:p>
        </w:tc>
        <w:tc>
          <w:tcPr>
            <w:tcW w:w="1390" w:type="dxa"/>
            <w:vAlign w:val="center"/>
          </w:tcPr>
          <w:p w14:paraId="71382D66">
            <w:pPr>
              <w:widowControl/>
              <w:spacing w:line="280" w:lineRule="exact"/>
              <w:jc w:val="center"/>
              <w:rPr>
                <w:rFonts w:hint="eastAsia" w:ascii="宋体" w:hAnsi="宋体" w:cs="宋体" w:eastAsiaTheme="minorEastAsia"/>
                <w:kern w:val="0"/>
                <w:szCs w:val="21"/>
                <w:highlight w:val="none"/>
                <w:lang w:val="en-US" w:eastAsia="zh-CN"/>
              </w:rPr>
            </w:pPr>
          </w:p>
        </w:tc>
      </w:tr>
      <w:tr w14:paraId="116EB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669" w:type="dxa"/>
            <w:vMerge w:val="continue"/>
            <w:vAlign w:val="center"/>
          </w:tcPr>
          <w:p w14:paraId="72A975FD">
            <w:pPr>
              <w:widowControl/>
              <w:spacing w:line="280" w:lineRule="exact"/>
              <w:jc w:val="center"/>
              <w:rPr>
                <w:rFonts w:hAnsi="宋体"/>
                <w:color w:val="000000"/>
                <w:kern w:val="0"/>
                <w:szCs w:val="21"/>
                <w:highlight w:val="none"/>
              </w:rPr>
            </w:pPr>
          </w:p>
        </w:tc>
        <w:tc>
          <w:tcPr>
            <w:tcW w:w="1065" w:type="dxa"/>
            <w:vMerge w:val="continue"/>
            <w:vAlign w:val="center"/>
          </w:tcPr>
          <w:p w14:paraId="658F30D0">
            <w:pPr>
              <w:widowControl/>
              <w:spacing w:line="280" w:lineRule="exact"/>
              <w:jc w:val="center"/>
              <w:rPr>
                <w:rFonts w:hAnsi="宋体"/>
                <w:color w:val="000000"/>
                <w:kern w:val="0"/>
                <w:szCs w:val="21"/>
                <w:highlight w:val="none"/>
              </w:rPr>
            </w:pPr>
          </w:p>
        </w:tc>
        <w:tc>
          <w:tcPr>
            <w:tcW w:w="6133" w:type="dxa"/>
            <w:vAlign w:val="center"/>
          </w:tcPr>
          <w:p w14:paraId="119E4A04">
            <w:pPr>
              <w:widowControl/>
              <w:numPr>
                <w:ilvl w:val="255"/>
                <w:numId w:val="0"/>
              </w:numPr>
              <w:spacing w:line="280" w:lineRule="exact"/>
              <w:jc w:val="left"/>
              <w:rPr>
                <w:rFonts w:hAnsi="宋体"/>
                <w:color w:val="000000"/>
                <w:kern w:val="0"/>
                <w:szCs w:val="21"/>
                <w:highlight w:val="none"/>
              </w:rPr>
            </w:pPr>
            <w:r>
              <w:rPr>
                <w:rFonts w:hint="eastAsia" w:hAnsi="宋体"/>
                <w:color w:val="000000"/>
                <w:kern w:val="0"/>
                <w:szCs w:val="21"/>
                <w:highlight w:val="none"/>
              </w:rPr>
              <w:t>聘任</w:t>
            </w:r>
            <w:r>
              <w:rPr>
                <w:rFonts w:hAnsi="宋体"/>
                <w:color w:val="000000"/>
                <w:kern w:val="0"/>
                <w:szCs w:val="21"/>
                <w:highlight w:val="none"/>
              </w:rPr>
              <w:t>的专职教务员</w:t>
            </w:r>
            <w:r>
              <w:rPr>
                <w:rFonts w:hint="eastAsia" w:hAnsi="宋体"/>
                <w:color w:val="000000"/>
                <w:kern w:val="0"/>
                <w:szCs w:val="21"/>
                <w:highlight w:val="none"/>
              </w:rPr>
              <w:t>（不含</w:t>
            </w:r>
            <w:r>
              <w:rPr>
                <w:rFonts w:hAnsi="宋体"/>
                <w:color w:val="000000"/>
                <w:kern w:val="0"/>
                <w:szCs w:val="21"/>
                <w:highlight w:val="none"/>
              </w:rPr>
              <w:t>教学</w:t>
            </w:r>
            <w:r>
              <w:rPr>
                <w:rFonts w:hint="eastAsia" w:hAnsi="宋体"/>
                <w:color w:val="000000"/>
                <w:kern w:val="0"/>
                <w:szCs w:val="21"/>
                <w:highlight w:val="none"/>
              </w:rPr>
              <w:t>总监）</w:t>
            </w:r>
            <w:r>
              <w:rPr>
                <w:rFonts w:hAnsi="宋体"/>
                <w:color w:val="000000"/>
                <w:kern w:val="0"/>
                <w:szCs w:val="21"/>
                <w:highlight w:val="none"/>
              </w:rPr>
              <w:t>具有</w:t>
            </w:r>
            <w:r>
              <w:rPr>
                <w:rFonts w:hint="eastAsia" w:hAnsi="宋体"/>
                <w:color w:val="000000"/>
                <w:kern w:val="0"/>
                <w:szCs w:val="21"/>
                <w:highlight w:val="none"/>
              </w:rPr>
              <w:t>大学</w:t>
            </w:r>
            <w:r>
              <w:rPr>
                <w:rFonts w:hAnsi="宋体"/>
                <w:color w:val="000000"/>
                <w:kern w:val="0"/>
                <w:szCs w:val="21"/>
                <w:highlight w:val="none"/>
              </w:rPr>
              <w:t>专科以上学历</w:t>
            </w:r>
            <w:r>
              <w:rPr>
                <w:rFonts w:hint="eastAsia" w:hAnsi="宋体"/>
                <w:color w:val="000000"/>
                <w:kern w:val="0"/>
                <w:szCs w:val="21"/>
                <w:highlight w:val="none"/>
              </w:rPr>
              <w:t>且有</w:t>
            </w:r>
            <w:r>
              <w:rPr>
                <w:rFonts w:hAnsi="宋体"/>
                <w:color w:val="000000"/>
                <w:kern w:val="0"/>
                <w:szCs w:val="21"/>
                <w:highlight w:val="none"/>
              </w:rPr>
              <w:t>学校</w:t>
            </w:r>
            <w:r>
              <w:rPr>
                <w:rFonts w:hint="eastAsia" w:hAnsi="宋体"/>
                <w:color w:val="000000"/>
                <w:kern w:val="0"/>
                <w:szCs w:val="21"/>
                <w:highlight w:val="none"/>
              </w:rPr>
              <w:t>工作</w:t>
            </w:r>
            <w:r>
              <w:rPr>
                <w:rFonts w:hAnsi="宋体"/>
                <w:color w:val="000000"/>
                <w:kern w:val="0"/>
                <w:szCs w:val="21"/>
                <w:highlight w:val="none"/>
              </w:rPr>
              <w:t>经历3</w:t>
            </w:r>
            <w:r>
              <w:rPr>
                <w:rFonts w:hint="eastAsia" w:hAnsi="宋体"/>
                <w:color w:val="000000"/>
                <w:kern w:val="0"/>
                <w:szCs w:val="21"/>
                <w:highlight w:val="none"/>
              </w:rPr>
              <w:t>年以上，每符合1人</w:t>
            </w:r>
            <w:r>
              <w:rPr>
                <w:rFonts w:hAnsi="宋体"/>
                <w:color w:val="000000"/>
                <w:kern w:val="0"/>
                <w:szCs w:val="21"/>
                <w:highlight w:val="none"/>
              </w:rPr>
              <w:t>得</w:t>
            </w:r>
            <w:r>
              <w:rPr>
                <w:rFonts w:hint="eastAsia" w:hAnsi="宋体"/>
                <w:color w:val="000000"/>
                <w:kern w:val="0"/>
                <w:szCs w:val="21"/>
                <w:highlight w:val="none"/>
                <w:lang w:val="en-US" w:eastAsia="zh-CN"/>
              </w:rPr>
              <w:t>1</w:t>
            </w:r>
            <w:r>
              <w:rPr>
                <w:rFonts w:hint="eastAsia" w:hAnsi="宋体"/>
                <w:color w:val="000000"/>
                <w:kern w:val="0"/>
                <w:szCs w:val="21"/>
                <w:highlight w:val="none"/>
              </w:rPr>
              <w:t>分</w:t>
            </w:r>
            <w:r>
              <w:rPr>
                <w:rFonts w:hAnsi="宋体"/>
                <w:color w:val="000000"/>
                <w:kern w:val="0"/>
                <w:szCs w:val="21"/>
                <w:highlight w:val="none"/>
              </w:rPr>
              <w:t>，总分不超过</w:t>
            </w:r>
            <w:r>
              <w:rPr>
                <w:rFonts w:hint="eastAsia" w:hAnsi="宋体"/>
                <w:color w:val="000000"/>
                <w:kern w:val="0"/>
                <w:szCs w:val="21"/>
                <w:highlight w:val="none"/>
                <w:lang w:val="en-US" w:eastAsia="zh-CN"/>
              </w:rPr>
              <w:t>4</w:t>
            </w:r>
            <w:r>
              <w:rPr>
                <w:rFonts w:hint="eastAsia" w:hAnsi="宋体"/>
                <w:color w:val="000000"/>
                <w:kern w:val="0"/>
                <w:szCs w:val="21"/>
                <w:highlight w:val="none"/>
              </w:rPr>
              <w:t>分</w:t>
            </w:r>
            <w:r>
              <w:rPr>
                <w:rFonts w:hAnsi="宋体"/>
                <w:color w:val="000000"/>
                <w:kern w:val="0"/>
                <w:szCs w:val="21"/>
                <w:highlight w:val="none"/>
              </w:rPr>
              <w:t>。</w:t>
            </w:r>
          </w:p>
        </w:tc>
        <w:tc>
          <w:tcPr>
            <w:tcW w:w="866" w:type="dxa"/>
            <w:vAlign w:val="center"/>
          </w:tcPr>
          <w:p w14:paraId="68E4B0D0">
            <w:pPr>
              <w:widowControl/>
              <w:spacing w:line="280" w:lineRule="exact"/>
              <w:jc w:val="center"/>
              <w:rPr>
                <w:rFonts w:hint="eastAsia" w:ascii="宋体" w:hAnsi="宋体" w:cs="宋体" w:eastAsiaTheme="minorEastAsia"/>
                <w:kern w:val="0"/>
                <w:szCs w:val="21"/>
                <w:highlight w:val="none"/>
                <w:lang w:eastAsia="zh-CN"/>
              </w:rPr>
            </w:pPr>
            <w:r>
              <w:rPr>
                <w:rFonts w:hint="eastAsia" w:ascii="宋体" w:hAnsi="宋体" w:cs="宋体"/>
                <w:kern w:val="0"/>
                <w:szCs w:val="21"/>
                <w:highlight w:val="none"/>
                <w:lang w:val="en-US" w:eastAsia="zh-CN"/>
              </w:rPr>
              <w:t>4</w:t>
            </w:r>
          </w:p>
        </w:tc>
        <w:tc>
          <w:tcPr>
            <w:tcW w:w="1390" w:type="dxa"/>
            <w:vAlign w:val="center"/>
          </w:tcPr>
          <w:p w14:paraId="5CD606C4">
            <w:pPr>
              <w:widowControl/>
              <w:spacing w:line="280" w:lineRule="exact"/>
              <w:jc w:val="center"/>
              <w:rPr>
                <w:rFonts w:hint="eastAsia" w:ascii="宋体" w:hAnsi="宋体" w:cs="宋体" w:eastAsiaTheme="minorEastAsia"/>
                <w:kern w:val="0"/>
                <w:szCs w:val="21"/>
                <w:highlight w:val="none"/>
                <w:lang w:val="en-US" w:eastAsia="zh-CN"/>
              </w:rPr>
            </w:pPr>
          </w:p>
        </w:tc>
      </w:tr>
      <w:tr w14:paraId="53A9E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669" w:type="dxa"/>
            <w:vMerge w:val="continue"/>
            <w:vAlign w:val="center"/>
          </w:tcPr>
          <w:p w14:paraId="475F8173">
            <w:pPr>
              <w:widowControl/>
              <w:spacing w:line="280" w:lineRule="exact"/>
              <w:jc w:val="center"/>
              <w:rPr>
                <w:rFonts w:hAnsi="宋体"/>
                <w:color w:val="000000"/>
                <w:kern w:val="0"/>
                <w:szCs w:val="21"/>
                <w:highlight w:val="none"/>
              </w:rPr>
            </w:pPr>
          </w:p>
        </w:tc>
        <w:tc>
          <w:tcPr>
            <w:tcW w:w="1065" w:type="dxa"/>
            <w:vMerge w:val="continue"/>
            <w:vAlign w:val="center"/>
          </w:tcPr>
          <w:p w14:paraId="01EF0A2A">
            <w:pPr>
              <w:widowControl/>
              <w:spacing w:line="280" w:lineRule="exact"/>
              <w:jc w:val="center"/>
              <w:rPr>
                <w:rFonts w:hAnsi="宋体"/>
                <w:color w:val="000000"/>
                <w:kern w:val="0"/>
                <w:szCs w:val="21"/>
                <w:highlight w:val="none"/>
              </w:rPr>
            </w:pPr>
          </w:p>
        </w:tc>
        <w:tc>
          <w:tcPr>
            <w:tcW w:w="6133" w:type="dxa"/>
            <w:vAlign w:val="center"/>
          </w:tcPr>
          <w:p w14:paraId="0144CE22">
            <w:pPr>
              <w:widowControl/>
              <w:numPr>
                <w:ilvl w:val="255"/>
                <w:numId w:val="0"/>
              </w:numPr>
              <w:spacing w:line="280" w:lineRule="exact"/>
              <w:jc w:val="left"/>
              <w:rPr>
                <w:rFonts w:hint="eastAsia" w:hAnsi="宋体" w:eastAsiaTheme="minorEastAsia"/>
                <w:color w:val="000000"/>
                <w:kern w:val="0"/>
                <w:szCs w:val="21"/>
                <w:highlight w:val="none"/>
                <w:lang w:eastAsia="zh-CN"/>
              </w:rPr>
            </w:pPr>
            <w:r>
              <w:rPr>
                <w:rFonts w:hAnsi="宋体"/>
                <w:color w:val="000000"/>
                <w:kern w:val="0"/>
                <w:szCs w:val="21"/>
                <w:highlight w:val="none"/>
              </w:rPr>
              <w:t>课程</w:t>
            </w:r>
            <w:r>
              <w:rPr>
                <w:rFonts w:hint="eastAsia" w:hAnsi="宋体"/>
                <w:color w:val="000000"/>
                <w:kern w:val="0"/>
                <w:szCs w:val="21"/>
                <w:highlight w:val="none"/>
              </w:rPr>
              <w:t>收费标准符合公益普惠原则（参照少年宫同类课程收费标准）。经学校审核批准才能收费，并接受学校、家长监督</w:t>
            </w:r>
            <w:r>
              <w:rPr>
                <w:rFonts w:hint="eastAsia" w:hAnsi="宋体"/>
                <w:color w:val="000000"/>
                <w:kern w:val="0"/>
                <w:szCs w:val="21"/>
                <w:highlight w:val="none"/>
                <w:lang w:eastAsia="zh-CN"/>
              </w:rPr>
              <w:t>。（</w:t>
            </w:r>
            <w:r>
              <w:rPr>
                <w:rFonts w:hint="eastAsia" w:ascii="宋体" w:hAnsi="宋体" w:cs="宋体"/>
                <w:bCs/>
                <w:kern w:val="0"/>
                <w:szCs w:val="21"/>
                <w:highlight w:val="none"/>
                <w:lang w:val="en-US" w:eastAsia="zh-CN"/>
              </w:rPr>
              <w:t>提供相应证明盖章</w:t>
            </w:r>
            <w:r>
              <w:rPr>
                <w:rFonts w:hint="eastAsia" w:hAnsi="宋体"/>
                <w:color w:val="000000"/>
                <w:kern w:val="0"/>
                <w:szCs w:val="21"/>
                <w:highlight w:val="none"/>
                <w:lang w:eastAsia="zh-CN"/>
              </w:rPr>
              <w:t>）</w:t>
            </w:r>
          </w:p>
        </w:tc>
        <w:tc>
          <w:tcPr>
            <w:tcW w:w="866" w:type="dxa"/>
            <w:vAlign w:val="center"/>
          </w:tcPr>
          <w:p w14:paraId="1C967B3D">
            <w:pPr>
              <w:widowControl/>
              <w:spacing w:line="280" w:lineRule="exact"/>
              <w:jc w:val="center"/>
              <w:rPr>
                <w:rFonts w:hint="eastAsia" w:ascii="宋体" w:hAnsi="宋体" w:cs="宋体" w:eastAsiaTheme="minorEastAsia"/>
                <w:kern w:val="0"/>
                <w:szCs w:val="21"/>
                <w:highlight w:val="none"/>
                <w:lang w:eastAsia="zh-CN"/>
              </w:rPr>
            </w:pPr>
            <w:r>
              <w:rPr>
                <w:rFonts w:hint="eastAsia" w:ascii="宋体" w:hAnsi="宋体" w:cs="宋体"/>
                <w:kern w:val="0"/>
                <w:szCs w:val="21"/>
                <w:highlight w:val="none"/>
                <w:lang w:val="en-US" w:eastAsia="zh-CN"/>
              </w:rPr>
              <w:t>9</w:t>
            </w:r>
          </w:p>
        </w:tc>
        <w:tc>
          <w:tcPr>
            <w:tcW w:w="1390" w:type="dxa"/>
            <w:vAlign w:val="center"/>
          </w:tcPr>
          <w:p w14:paraId="12A22798">
            <w:pPr>
              <w:widowControl/>
              <w:spacing w:line="280" w:lineRule="exact"/>
              <w:jc w:val="center"/>
              <w:rPr>
                <w:rFonts w:hint="eastAsia" w:ascii="宋体" w:hAnsi="宋体" w:cs="宋体" w:eastAsiaTheme="minorEastAsia"/>
                <w:kern w:val="0"/>
                <w:szCs w:val="21"/>
                <w:highlight w:val="none"/>
                <w:lang w:val="en-US" w:eastAsia="zh-CN"/>
              </w:rPr>
            </w:pPr>
          </w:p>
        </w:tc>
      </w:tr>
      <w:tr w14:paraId="601A9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669" w:type="dxa"/>
            <w:vMerge w:val="continue"/>
            <w:vAlign w:val="center"/>
          </w:tcPr>
          <w:p w14:paraId="0EB95742">
            <w:pPr>
              <w:widowControl/>
              <w:spacing w:line="280" w:lineRule="exact"/>
              <w:jc w:val="center"/>
              <w:rPr>
                <w:rFonts w:hint="eastAsia" w:hAnsi="宋体"/>
                <w:color w:val="000000"/>
                <w:kern w:val="0"/>
                <w:szCs w:val="21"/>
                <w:highlight w:val="none"/>
              </w:rPr>
            </w:pPr>
          </w:p>
        </w:tc>
        <w:tc>
          <w:tcPr>
            <w:tcW w:w="1065" w:type="dxa"/>
            <w:vMerge w:val="restart"/>
            <w:vAlign w:val="center"/>
          </w:tcPr>
          <w:p w14:paraId="5C00B139">
            <w:pPr>
              <w:widowControl/>
              <w:spacing w:line="280" w:lineRule="exact"/>
              <w:jc w:val="center"/>
              <w:rPr>
                <w:rFonts w:hAnsi="宋体"/>
                <w:color w:val="000000"/>
                <w:kern w:val="0"/>
                <w:szCs w:val="21"/>
                <w:highlight w:val="none"/>
              </w:rPr>
            </w:pPr>
            <w:r>
              <w:rPr>
                <w:rFonts w:hint="eastAsia" w:hAnsi="宋体"/>
                <w:color w:val="000000"/>
                <w:kern w:val="0"/>
                <w:szCs w:val="21"/>
                <w:highlight w:val="none"/>
              </w:rPr>
              <w:t>增值附加</w:t>
            </w:r>
            <w:r>
              <w:rPr>
                <w:rFonts w:hAnsi="宋体"/>
                <w:color w:val="000000"/>
                <w:kern w:val="0"/>
                <w:szCs w:val="21"/>
                <w:highlight w:val="none"/>
              </w:rPr>
              <w:t>分</w:t>
            </w:r>
            <w:r>
              <w:rPr>
                <w:rFonts w:hint="eastAsia" w:hAnsi="宋体"/>
                <w:color w:val="000000"/>
                <w:kern w:val="0"/>
                <w:szCs w:val="21"/>
                <w:highlight w:val="none"/>
              </w:rPr>
              <w:t>（20）</w:t>
            </w:r>
          </w:p>
        </w:tc>
        <w:tc>
          <w:tcPr>
            <w:tcW w:w="6133" w:type="dxa"/>
            <w:vAlign w:val="center"/>
          </w:tcPr>
          <w:p w14:paraId="200AEFE7">
            <w:pPr>
              <w:widowControl/>
              <w:numPr>
                <w:ilvl w:val="255"/>
                <w:numId w:val="0"/>
              </w:numPr>
              <w:spacing w:line="280" w:lineRule="exact"/>
              <w:jc w:val="left"/>
              <w:rPr>
                <w:rFonts w:hint="eastAsia" w:hAnsi="宋体" w:eastAsiaTheme="minorEastAsia"/>
                <w:color w:val="000000"/>
                <w:kern w:val="0"/>
                <w:szCs w:val="21"/>
                <w:highlight w:val="none"/>
                <w:lang w:eastAsia="zh-CN"/>
              </w:rPr>
            </w:pPr>
            <w:r>
              <w:rPr>
                <w:rFonts w:hint="eastAsia" w:hAnsi="宋体"/>
                <w:color w:val="000000"/>
                <w:kern w:val="0"/>
                <w:szCs w:val="21"/>
                <w:highlight w:val="none"/>
              </w:rPr>
              <w:t>能</w:t>
            </w:r>
            <w:r>
              <w:rPr>
                <w:rFonts w:hAnsi="宋体"/>
                <w:color w:val="000000"/>
                <w:kern w:val="0"/>
                <w:szCs w:val="21"/>
                <w:highlight w:val="none"/>
              </w:rPr>
              <w:t>利用自身资源</w:t>
            </w:r>
            <w:r>
              <w:rPr>
                <w:rFonts w:hint="eastAsia" w:hAnsi="宋体"/>
                <w:color w:val="000000"/>
                <w:kern w:val="0"/>
                <w:szCs w:val="21"/>
                <w:highlight w:val="none"/>
              </w:rPr>
              <w:t>为学生发展</w:t>
            </w:r>
            <w:r>
              <w:rPr>
                <w:rFonts w:hAnsi="宋体"/>
                <w:color w:val="000000"/>
                <w:kern w:val="0"/>
                <w:szCs w:val="21"/>
                <w:highlight w:val="none"/>
              </w:rPr>
              <w:t>提供增值服务</w:t>
            </w:r>
            <w:r>
              <w:rPr>
                <w:rFonts w:hint="eastAsia" w:hAnsi="宋体"/>
                <w:color w:val="000000"/>
                <w:kern w:val="0"/>
                <w:szCs w:val="21"/>
                <w:highlight w:val="none"/>
              </w:rPr>
              <w:t>、特色服务</w:t>
            </w:r>
            <w:r>
              <w:rPr>
                <w:rFonts w:hAnsi="宋体"/>
                <w:color w:val="000000"/>
                <w:kern w:val="0"/>
                <w:szCs w:val="21"/>
                <w:highlight w:val="none"/>
              </w:rPr>
              <w:t>。</w:t>
            </w:r>
            <w:r>
              <w:rPr>
                <w:rFonts w:hint="eastAsia"/>
                <w:lang w:eastAsia="zh-CN"/>
              </w:rPr>
              <w:t>（</w:t>
            </w:r>
            <w:r>
              <w:t>项目实施计划全面、完善，得15分； 项目实施计划较全面、较完善，得9分； 项目实施计划不够详细、不够完善，得4.5分； 不提供不得分。</w:t>
            </w:r>
            <w:r>
              <w:rPr>
                <w:rFonts w:hint="eastAsia"/>
                <w:lang w:eastAsia="zh-CN"/>
              </w:rPr>
              <w:t>）</w:t>
            </w:r>
          </w:p>
        </w:tc>
        <w:tc>
          <w:tcPr>
            <w:tcW w:w="866" w:type="dxa"/>
            <w:vAlign w:val="center"/>
          </w:tcPr>
          <w:p w14:paraId="30F4AF42">
            <w:pPr>
              <w:widowControl/>
              <w:spacing w:line="280" w:lineRule="exact"/>
              <w:jc w:val="center"/>
              <w:rPr>
                <w:rFonts w:ascii="宋体" w:hAnsi="宋体" w:cs="宋体"/>
                <w:kern w:val="0"/>
                <w:szCs w:val="21"/>
                <w:highlight w:val="none"/>
              </w:rPr>
            </w:pPr>
            <w:r>
              <w:rPr>
                <w:rFonts w:ascii="宋体" w:hAnsi="宋体" w:cs="宋体"/>
                <w:kern w:val="0"/>
                <w:szCs w:val="21"/>
                <w:highlight w:val="none"/>
              </w:rPr>
              <w:t>15</w:t>
            </w:r>
          </w:p>
        </w:tc>
        <w:tc>
          <w:tcPr>
            <w:tcW w:w="1390" w:type="dxa"/>
            <w:vAlign w:val="center"/>
          </w:tcPr>
          <w:p w14:paraId="7CE03ACE">
            <w:pPr>
              <w:widowControl/>
              <w:spacing w:line="280" w:lineRule="exact"/>
              <w:jc w:val="center"/>
              <w:rPr>
                <w:rFonts w:hint="default" w:ascii="宋体" w:hAnsi="宋体" w:cs="宋体" w:eastAsiaTheme="minorEastAsia"/>
                <w:kern w:val="0"/>
                <w:szCs w:val="21"/>
                <w:highlight w:val="none"/>
                <w:lang w:val="en-US" w:eastAsia="zh-CN"/>
              </w:rPr>
            </w:pPr>
          </w:p>
        </w:tc>
      </w:tr>
      <w:tr w14:paraId="797A8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669" w:type="dxa"/>
            <w:vMerge w:val="continue"/>
            <w:vAlign w:val="center"/>
          </w:tcPr>
          <w:p w14:paraId="057EC200">
            <w:pPr>
              <w:widowControl/>
              <w:spacing w:line="280" w:lineRule="exact"/>
              <w:jc w:val="center"/>
              <w:rPr>
                <w:rFonts w:hAnsi="宋体"/>
                <w:color w:val="000000"/>
                <w:kern w:val="0"/>
                <w:szCs w:val="21"/>
                <w:highlight w:val="none"/>
              </w:rPr>
            </w:pPr>
          </w:p>
        </w:tc>
        <w:tc>
          <w:tcPr>
            <w:tcW w:w="1065" w:type="dxa"/>
            <w:vMerge w:val="continue"/>
            <w:vAlign w:val="center"/>
          </w:tcPr>
          <w:p w14:paraId="2B526EB9">
            <w:pPr>
              <w:widowControl/>
              <w:spacing w:line="280" w:lineRule="exact"/>
              <w:jc w:val="center"/>
              <w:rPr>
                <w:rFonts w:hAnsi="宋体"/>
                <w:color w:val="000000"/>
                <w:kern w:val="0"/>
                <w:szCs w:val="21"/>
                <w:highlight w:val="none"/>
              </w:rPr>
            </w:pPr>
          </w:p>
        </w:tc>
        <w:tc>
          <w:tcPr>
            <w:tcW w:w="6133" w:type="dxa"/>
            <w:vAlign w:val="center"/>
          </w:tcPr>
          <w:p w14:paraId="0F2D01F8">
            <w:pPr>
              <w:widowControl/>
              <w:numPr>
                <w:ilvl w:val="255"/>
                <w:numId w:val="0"/>
              </w:numPr>
              <w:spacing w:line="280" w:lineRule="exact"/>
              <w:jc w:val="left"/>
              <w:rPr>
                <w:rFonts w:hint="eastAsia" w:hAnsi="宋体" w:eastAsiaTheme="minorEastAsia"/>
                <w:color w:val="000000"/>
                <w:kern w:val="0"/>
                <w:szCs w:val="21"/>
                <w:highlight w:val="none"/>
                <w:lang w:eastAsia="zh-CN"/>
              </w:rPr>
            </w:pPr>
            <w:r>
              <w:rPr>
                <w:rFonts w:hint="eastAsia" w:hAnsi="宋体"/>
                <w:color w:val="000000"/>
                <w:kern w:val="0"/>
                <w:szCs w:val="21"/>
                <w:highlight w:val="none"/>
              </w:rPr>
              <w:t>机构实力佐证充分，</w:t>
            </w:r>
            <w:r>
              <w:t>投标人获得过政府机关或行业协会颁发的荣誉证书，每提供一项得</w:t>
            </w:r>
            <w:r>
              <w:rPr>
                <w:rFonts w:hint="eastAsia"/>
                <w:lang w:val="en-US" w:eastAsia="zh-CN"/>
              </w:rPr>
              <w:t>1</w:t>
            </w:r>
            <w:r>
              <w:t>分，最高得5分。需提供相关证明材料复印件，不提供不得分。</w:t>
            </w:r>
          </w:p>
        </w:tc>
        <w:tc>
          <w:tcPr>
            <w:tcW w:w="866" w:type="dxa"/>
            <w:vAlign w:val="center"/>
          </w:tcPr>
          <w:p w14:paraId="5BDEA461">
            <w:pPr>
              <w:widowControl/>
              <w:spacing w:line="280" w:lineRule="exact"/>
              <w:jc w:val="center"/>
              <w:rPr>
                <w:rFonts w:ascii="宋体" w:hAnsi="宋体" w:cs="宋体"/>
                <w:kern w:val="0"/>
                <w:szCs w:val="21"/>
                <w:highlight w:val="none"/>
              </w:rPr>
            </w:pPr>
            <w:r>
              <w:rPr>
                <w:rFonts w:ascii="宋体" w:hAnsi="宋体" w:cs="宋体"/>
                <w:kern w:val="0"/>
                <w:szCs w:val="21"/>
                <w:highlight w:val="none"/>
              </w:rPr>
              <w:t>5</w:t>
            </w:r>
          </w:p>
        </w:tc>
        <w:tc>
          <w:tcPr>
            <w:tcW w:w="1390" w:type="dxa"/>
            <w:vAlign w:val="center"/>
          </w:tcPr>
          <w:p w14:paraId="44E4A7C1">
            <w:pPr>
              <w:widowControl/>
              <w:spacing w:line="280" w:lineRule="exact"/>
              <w:jc w:val="center"/>
              <w:rPr>
                <w:rFonts w:hint="eastAsia" w:ascii="宋体" w:hAnsi="宋体" w:cs="宋体" w:eastAsiaTheme="minorEastAsia"/>
                <w:kern w:val="0"/>
                <w:szCs w:val="21"/>
                <w:highlight w:val="none"/>
                <w:lang w:val="en-US" w:eastAsia="zh-CN"/>
              </w:rPr>
            </w:pPr>
          </w:p>
        </w:tc>
      </w:tr>
      <w:tr w14:paraId="7F20E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867" w:type="dxa"/>
            <w:gridSpan w:val="3"/>
            <w:vAlign w:val="center"/>
          </w:tcPr>
          <w:p w14:paraId="71D4817C">
            <w:pPr>
              <w:widowControl/>
              <w:numPr>
                <w:ilvl w:val="255"/>
                <w:numId w:val="0"/>
              </w:numPr>
              <w:spacing w:line="280" w:lineRule="exact"/>
              <w:jc w:val="center"/>
              <w:rPr>
                <w:rFonts w:hint="eastAsia" w:hAnsi="宋体" w:eastAsiaTheme="minorEastAsia"/>
                <w:color w:val="000000"/>
                <w:kern w:val="0"/>
                <w:szCs w:val="21"/>
                <w:highlight w:val="none"/>
                <w:lang w:eastAsia="zh-CN"/>
              </w:rPr>
            </w:pPr>
            <w:r>
              <w:rPr>
                <w:rFonts w:hint="eastAsia" w:hAnsi="宋体"/>
                <w:color w:val="000000"/>
                <w:kern w:val="0"/>
                <w:szCs w:val="21"/>
                <w:highlight w:val="none"/>
                <w:lang w:val="en-US" w:eastAsia="zh-CN"/>
              </w:rPr>
              <w:t>总分值</w:t>
            </w:r>
          </w:p>
        </w:tc>
        <w:tc>
          <w:tcPr>
            <w:tcW w:w="866" w:type="dxa"/>
            <w:vAlign w:val="center"/>
          </w:tcPr>
          <w:p w14:paraId="7FBEC8F8">
            <w:pPr>
              <w:widowControl/>
              <w:spacing w:line="280" w:lineRule="exact"/>
              <w:jc w:val="center"/>
              <w:rPr>
                <w:rFonts w:ascii="宋体" w:hAnsi="宋体" w:cs="宋体"/>
                <w:kern w:val="0"/>
                <w:szCs w:val="21"/>
                <w:highlight w:val="none"/>
              </w:rPr>
            </w:pPr>
            <w:r>
              <w:rPr>
                <w:rFonts w:hint="eastAsia" w:ascii="宋体" w:hAnsi="宋体" w:cs="宋体"/>
                <w:kern w:val="0"/>
                <w:szCs w:val="21"/>
                <w:highlight w:val="none"/>
              </w:rPr>
              <w:t>1</w:t>
            </w:r>
            <w:r>
              <w:rPr>
                <w:rFonts w:hint="eastAsia" w:ascii="宋体" w:hAnsi="宋体" w:cs="宋体"/>
                <w:kern w:val="0"/>
                <w:szCs w:val="21"/>
                <w:highlight w:val="none"/>
                <w:lang w:val="en-US" w:eastAsia="zh-CN"/>
              </w:rPr>
              <w:t>2</w:t>
            </w:r>
            <w:r>
              <w:rPr>
                <w:rFonts w:hint="eastAsia" w:ascii="宋体" w:hAnsi="宋体" w:cs="宋体"/>
                <w:kern w:val="0"/>
                <w:szCs w:val="21"/>
                <w:highlight w:val="none"/>
              </w:rPr>
              <w:t>0</w:t>
            </w:r>
          </w:p>
        </w:tc>
        <w:tc>
          <w:tcPr>
            <w:tcW w:w="1390" w:type="dxa"/>
            <w:vAlign w:val="center"/>
          </w:tcPr>
          <w:p w14:paraId="4DA17148">
            <w:pPr>
              <w:widowControl/>
              <w:spacing w:line="280" w:lineRule="exact"/>
              <w:jc w:val="center"/>
              <w:rPr>
                <w:rFonts w:hint="default" w:ascii="宋体" w:hAnsi="宋体" w:cs="宋体" w:eastAsiaTheme="minorEastAsia"/>
                <w:kern w:val="0"/>
                <w:szCs w:val="21"/>
                <w:highlight w:val="none"/>
                <w:lang w:val="en-US" w:eastAsia="zh-CN"/>
              </w:rPr>
            </w:pPr>
          </w:p>
        </w:tc>
      </w:tr>
      <w:tr w14:paraId="5819D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3" w:hRule="atLeast"/>
          <w:jc w:val="center"/>
        </w:trPr>
        <w:tc>
          <w:tcPr>
            <w:tcW w:w="1734" w:type="dxa"/>
            <w:gridSpan w:val="2"/>
            <w:vAlign w:val="center"/>
          </w:tcPr>
          <w:p w14:paraId="22A30641">
            <w:pPr>
              <w:widowControl/>
              <w:numPr>
                <w:ilvl w:val="255"/>
                <w:numId w:val="0"/>
              </w:numPr>
              <w:spacing w:line="280" w:lineRule="exact"/>
              <w:jc w:val="center"/>
              <w:rPr>
                <w:rFonts w:hint="default" w:hAnsi="宋体"/>
                <w:color w:val="000000"/>
                <w:kern w:val="0"/>
                <w:szCs w:val="21"/>
                <w:highlight w:val="none"/>
                <w:lang w:val="en-US" w:eastAsia="zh-CN"/>
              </w:rPr>
            </w:pPr>
            <w:r>
              <w:rPr>
                <w:rFonts w:hint="eastAsia" w:hAnsi="宋体"/>
                <w:color w:val="000000"/>
                <w:kern w:val="0"/>
                <w:szCs w:val="21"/>
                <w:highlight w:val="none"/>
                <w:lang w:val="en-US" w:eastAsia="zh-CN"/>
              </w:rPr>
              <w:t>评委意见</w:t>
            </w:r>
          </w:p>
        </w:tc>
        <w:tc>
          <w:tcPr>
            <w:tcW w:w="8389" w:type="dxa"/>
            <w:gridSpan w:val="3"/>
            <w:vAlign w:val="center"/>
          </w:tcPr>
          <w:p w14:paraId="32608230">
            <w:pPr>
              <w:widowControl/>
              <w:spacing w:line="280" w:lineRule="exact"/>
              <w:jc w:val="center"/>
              <w:rPr>
                <w:rFonts w:hint="default" w:ascii="宋体" w:hAnsi="宋体" w:cs="宋体" w:eastAsiaTheme="minorEastAsia"/>
                <w:kern w:val="0"/>
                <w:szCs w:val="21"/>
                <w:highlight w:val="none"/>
                <w:lang w:val="en-US" w:eastAsia="zh-CN"/>
              </w:rPr>
            </w:pPr>
          </w:p>
        </w:tc>
      </w:tr>
    </w:tbl>
    <w:p w14:paraId="038D3180">
      <w:pPr>
        <w:jc w:val="left"/>
        <w:rPr>
          <w:rFonts w:hint="eastAsia" w:ascii="宋体" w:hAnsi="宋体" w:eastAsia="宋体" w:cs="宋体"/>
          <w:sz w:val="28"/>
          <w:szCs w:val="28"/>
        </w:rPr>
      </w:pPr>
      <w:r>
        <w:rPr>
          <w:rFonts w:hint="eastAsia" w:ascii="仿宋" w:hAnsi="仿宋" w:eastAsia="仿宋"/>
          <w:sz w:val="28"/>
          <w:szCs w:val="32"/>
        </w:rPr>
        <w:t>备注：标“*”标准为必达指标，实行一票否决。</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粗黑宋简体">
    <w:altName w:val="宋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6ED8F4"/>
    <w:multiLevelType w:val="singleLevel"/>
    <w:tmpl w:val="926ED8F4"/>
    <w:lvl w:ilvl="0" w:tentative="0">
      <w:start w:val="1"/>
      <w:numFmt w:val="chineseCounting"/>
      <w:suff w:val="nothing"/>
      <w:lvlText w:val="%1、"/>
      <w:lvlJc w:val="left"/>
      <w:rPr>
        <w:rFonts w:hint="eastAsia"/>
      </w:rPr>
    </w:lvl>
  </w:abstractNum>
  <w:abstractNum w:abstractNumId="1">
    <w:nsid w:val="D02CA9DE"/>
    <w:multiLevelType w:val="singleLevel"/>
    <w:tmpl w:val="D02CA9DE"/>
    <w:lvl w:ilvl="0" w:tentative="0">
      <w:start w:val="1"/>
      <w:numFmt w:val="chineseCounting"/>
      <w:suff w:val="nothing"/>
      <w:lvlText w:val="（%1）"/>
      <w:lvlJc w:val="left"/>
      <w:rPr>
        <w:rFonts w:hint="eastAsia"/>
      </w:rPr>
    </w:lvl>
  </w:abstractNum>
  <w:abstractNum w:abstractNumId="2">
    <w:nsid w:val="D46F3CD9"/>
    <w:multiLevelType w:val="singleLevel"/>
    <w:tmpl w:val="D46F3CD9"/>
    <w:lvl w:ilvl="0" w:tentative="0">
      <w:start w:val="1"/>
      <w:numFmt w:val="chineseCounting"/>
      <w:suff w:val="nothing"/>
      <w:lvlText w:val="（%1）"/>
      <w:lvlJc w:val="left"/>
      <w:rPr>
        <w:rFonts w:hint="eastAsia"/>
      </w:rPr>
    </w:lvl>
  </w:abstractNum>
  <w:abstractNum w:abstractNumId="3">
    <w:nsid w:val="DD3EC0E9"/>
    <w:multiLevelType w:val="singleLevel"/>
    <w:tmpl w:val="DD3EC0E9"/>
    <w:lvl w:ilvl="0" w:tentative="0">
      <w:start w:val="1"/>
      <w:numFmt w:val="chineseCounting"/>
      <w:suff w:val="nothing"/>
      <w:lvlText w:val="（%1）"/>
      <w:lvlJc w:val="left"/>
      <w:rPr>
        <w:rFonts w:hint="eastAsia"/>
      </w:rPr>
    </w:lvl>
  </w:abstractNum>
  <w:abstractNum w:abstractNumId="4">
    <w:nsid w:val="E6C828AD"/>
    <w:multiLevelType w:val="singleLevel"/>
    <w:tmpl w:val="E6C828AD"/>
    <w:lvl w:ilvl="0" w:tentative="0">
      <w:start w:val="1"/>
      <w:numFmt w:val="decimal"/>
      <w:suff w:val="nothing"/>
      <w:lvlText w:val="%1．"/>
      <w:lvlJc w:val="left"/>
      <w:pPr>
        <w:ind w:left="0" w:firstLine="400"/>
      </w:pPr>
      <w:rPr>
        <w:rFonts w:hint="default"/>
      </w:rPr>
    </w:lvl>
  </w:abstractNum>
  <w:abstractNum w:abstractNumId="5">
    <w:nsid w:val="E9588A6E"/>
    <w:multiLevelType w:val="singleLevel"/>
    <w:tmpl w:val="E9588A6E"/>
    <w:lvl w:ilvl="0" w:tentative="0">
      <w:start w:val="1"/>
      <w:numFmt w:val="chineseCounting"/>
      <w:suff w:val="nothing"/>
      <w:lvlText w:val="（%1）"/>
      <w:lvlJc w:val="left"/>
      <w:rPr>
        <w:rFonts w:hint="eastAsia"/>
      </w:rPr>
    </w:lvl>
  </w:abstractNum>
  <w:abstractNum w:abstractNumId="6">
    <w:nsid w:val="082626A8"/>
    <w:multiLevelType w:val="singleLevel"/>
    <w:tmpl w:val="082626A8"/>
    <w:lvl w:ilvl="0" w:tentative="0">
      <w:start w:val="1"/>
      <w:numFmt w:val="chineseCounting"/>
      <w:suff w:val="nothing"/>
      <w:lvlText w:val="（%1）"/>
      <w:lvlJc w:val="left"/>
      <w:rPr>
        <w:rFonts w:hint="eastAsia"/>
      </w:rPr>
    </w:lvl>
  </w:abstractNum>
  <w:abstractNum w:abstractNumId="7">
    <w:nsid w:val="2EB9CCC2"/>
    <w:multiLevelType w:val="singleLevel"/>
    <w:tmpl w:val="2EB9CCC2"/>
    <w:lvl w:ilvl="0" w:tentative="0">
      <w:start w:val="1"/>
      <w:numFmt w:val="decimal"/>
      <w:suff w:val="space"/>
      <w:lvlText w:val="%1."/>
      <w:lvlJc w:val="left"/>
      <w:pPr>
        <w:tabs>
          <w:tab w:val="left" w:pos="0"/>
        </w:tabs>
      </w:pPr>
      <w:rPr>
        <w:rFonts w:hint="default"/>
      </w:rPr>
    </w:lvl>
  </w:abstractNum>
  <w:abstractNum w:abstractNumId="8">
    <w:nsid w:val="5813B8DB"/>
    <w:multiLevelType w:val="singleLevel"/>
    <w:tmpl w:val="5813B8DB"/>
    <w:lvl w:ilvl="0" w:tentative="0">
      <w:start w:val="1"/>
      <w:numFmt w:val="chineseCounting"/>
      <w:suff w:val="nothing"/>
      <w:lvlText w:val="%1、"/>
      <w:lvlJc w:val="left"/>
      <w:rPr>
        <w:rFonts w:hint="eastAsia"/>
      </w:rPr>
    </w:lvl>
  </w:abstractNum>
  <w:abstractNum w:abstractNumId="9">
    <w:nsid w:val="7BC8DC7F"/>
    <w:multiLevelType w:val="singleLevel"/>
    <w:tmpl w:val="7BC8DC7F"/>
    <w:lvl w:ilvl="0" w:tentative="0">
      <w:start w:val="1"/>
      <w:numFmt w:val="chineseCounting"/>
      <w:suff w:val="nothing"/>
      <w:lvlText w:val="（%1）"/>
      <w:lvlJc w:val="left"/>
      <w:pPr>
        <w:ind w:left="0" w:firstLine="420"/>
      </w:pPr>
      <w:rPr>
        <w:rFonts w:hint="eastAsia"/>
      </w:rPr>
    </w:lvl>
  </w:abstractNum>
  <w:num w:numId="1">
    <w:abstractNumId w:val="8"/>
  </w:num>
  <w:num w:numId="2">
    <w:abstractNumId w:val="1"/>
  </w:num>
  <w:num w:numId="3">
    <w:abstractNumId w:val="4"/>
  </w:num>
  <w:num w:numId="4">
    <w:abstractNumId w:val="2"/>
  </w:num>
  <w:num w:numId="5">
    <w:abstractNumId w:val="5"/>
  </w:num>
  <w:num w:numId="6">
    <w:abstractNumId w:val="7"/>
  </w:num>
  <w:num w:numId="7">
    <w:abstractNumId w:val="6"/>
  </w:num>
  <w:num w:numId="8">
    <w:abstractNumId w:val="3"/>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1AD03080"/>
    <w:rsid w:val="0123016A"/>
    <w:rsid w:val="058C26C2"/>
    <w:rsid w:val="184F4736"/>
    <w:rsid w:val="1AD03080"/>
    <w:rsid w:val="21D5750C"/>
    <w:rsid w:val="26D7660D"/>
    <w:rsid w:val="33341337"/>
    <w:rsid w:val="39F20B9C"/>
    <w:rsid w:val="3BA246F5"/>
    <w:rsid w:val="3FA75A27"/>
    <w:rsid w:val="5581153A"/>
    <w:rsid w:val="56B72E1D"/>
    <w:rsid w:val="57C971B2"/>
    <w:rsid w:val="5F0E7043"/>
    <w:rsid w:val="6E11552E"/>
    <w:rsid w:val="72861931"/>
    <w:rsid w:val="785375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4065</Words>
  <Characters>4194</Characters>
  <Lines>0</Lines>
  <Paragraphs>0</Paragraphs>
  <TotalTime>44</TotalTime>
  <ScaleCrop>false</ScaleCrop>
  <LinksUpToDate>false</LinksUpToDate>
  <CharactersWithSpaces>4257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2024-11-05T09:03:00Z</dcterms:created>
  <dc:creator>凉粉枇杷</dc:creator>
  <cp:lastModifiedBy>sunrise</cp:lastModifiedBy>
  <dcterms:modified xsi:type="dcterms:W3CDTF">2024-11-15T01:45:19Z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1D2600EB8AE5476E940EC6BB82E6BCE8_11</vt:lpwstr>
  </property>
</Properties>
</file>