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128B5">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广东生态工程职业学院采购湿地公园科普宣教设施标准化标识系统设计技术服务项目</w:t>
      </w:r>
      <w:r>
        <w:rPr>
          <w:rFonts w:hint="eastAsia" w:asciiTheme="majorEastAsia" w:hAnsiTheme="majorEastAsia" w:eastAsiaTheme="majorEastAsia" w:cstheme="majorEastAsia"/>
          <w:b/>
          <w:sz w:val="36"/>
          <w:szCs w:val="36"/>
          <w:lang w:val="en-US" w:eastAsia="zh-CN"/>
        </w:rPr>
        <w:t>需求书</w:t>
      </w:r>
    </w:p>
    <w:p w14:paraId="77C7B270">
      <w:pPr>
        <w:spacing w:line="360" w:lineRule="auto"/>
        <w:jc w:val="left"/>
        <w:rPr>
          <w:rFonts w:hint="eastAsia" w:ascii="宋体" w:hAnsi="宋体" w:eastAsia="宋体" w:cs="宋体"/>
          <w:b w:val="0"/>
          <w:bCs w:val="0"/>
          <w:sz w:val="28"/>
          <w:szCs w:val="28"/>
        </w:rPr>
      </w:pPr>
    </w:p>
    <w:p w14:paraId="4D597960">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广东生态工程职业学院采购湿地公园科普宣教设施标准化标识系统设计技术服务项目</w:t>
      </w:r>
    </w:p>
    <w:p w14:paraId="774204F7">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84000.00元</w:t>
      </w:r>
    </w:p>
    <w:p w14:paraId="2B4CBD85">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7E31167B">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0ABBFCC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3191FCBB">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3025DB9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1DBDCE5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7C60232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4E073FF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279925D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52B3067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5662A886">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6DF2833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100154B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20</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30BC9BB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13C9D067">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5F2B74C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21A8C2D1">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5096" w:type="pct"/>
        <w:jc w:val="center"/>
        <w:tblLayout w:type="autofit"/>
        <w:tblCellMar>
          <w:top w:w="0" w:type="dxa"/>
          <w:left w:w="0" w:type="dxa"/>
          <w:bottom w:w="0" w:type="dxa"/>
          <w:right w:w="0" w:type="dxa"/>
        </w:tblCellMar>
      </w:tblPr>
      <w:tblGrid>
        <w:gridCol w:w="1455"/>
        <w:gridCol w:w="7021"/>
      </w:tblGrid>
      <w:tr w14:paraId="2330D095">
        <w:tblPrEx>
          <w:tblCellMar>
            <w:top w:w="0" w:type="dxa"/>
            <w:left w:w="0" w:type="dxa"/>
            <w:bottom w:w="0" w:type="dxa"/>
            <w:right w:w="0" w:type="dxa"/>
          </w:tblCellMar>
        </w:tblPrEx>
        <w:trPr>
          <w:trHeight w:val="621" w:hRule="atLeast"/>
          <w:jc w:val="center"/>
        </w:trPr>
        <w:tc>
          <w:tcPr>
            <w:tcW w:w="85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63041">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1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B1012">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77E5DB84">
        <w:tblPrEx>
          <w:tblCellMar>
            <w:top w:w="0" w:type="dxa"/>
            <w:left w:w="0" w:type="dxa"/>
            <w:bottom w:w="0" w:type="dxa"/>
            <w:right w:w="0" w:type="dxa"/>
          </w:tblCellMar>
        </w:tblPrEx>
        <w:trPr>
          <w:trHeight w:val="2638" w:hRule="atLeast"/>
          <w:jc w:val="center"/>
        </w:trPr>
        <w:tc>
          <w:tcPr>
            <w:tcW w:w="85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7DD89">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湿地公园科普宣教设施标准化标识系统设计技术服务</w:t>
            </w:r>
          </w:p>
        </w:tc>
        <w:tc>
          <w:tcPr>
            <w:tcW w:w="41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8872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采购内容：</w:t>
            </w:r>
            <w:r>
              <w:rPr>
                <w:rFonts w:hint="eastAsia" w:ascii="仿宋" w:hAnsi="仿宋" w:eastAsia="仿宋" w:cs="仿宋"/>
                <w:sz w:val="24"/>
                <w:szCs w:val="24"/>
                <w:lang w:val="en-US" w:eastAsia="zh-CN"/>
              </w:rPr>
              <w:t>综合考虑湿地公园的自然特色、文化背景、教育目标以及游客的实际需求，设计一套适用于广东省湿地公园科普宣教设施标准化标识系统。</w:t>
            </w:r>
          </w:p>
          <w:p w14:paraId="391FEDC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成果要求：</w:t>
            </w:r>
            <w:r>
              <w:rPr>
                <w:rFonts w:hint="default" w:ascii="仿宋" w:hAnsi="仿宋" w:eastAsia="仿宋" w:cs="仿宋"/>
                <w:sz w:val="24"/>
                <w:szCs w:val="24"/>
                <w:lang w:val="en-US" w:eastAsia="zh-CN"/>
              </w:rPr>
              <w:t>提交广东省湿地公园科普宣教设施标准化标识系统电子版1套。</w:t>
            </w:r>
          </w:p>
          <w:p w14:paraId="595DFAB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服务期</w:t>
            </w:r>
            <w:r>
              <w:rPr>
                <w:rFonts w:hint="eastAsia" w:ascii="仿宋" w:hAnsi="仿宋" w:eastAsia="仿宋" w:cs="仿宋"/>
                <w:b/>
                <w:bCs/>
                <w:sz w:val="24"/>
                <w:szCs w:val="24"/>
                <w:lang w:val="en-US" w:eastAsia="zh-CN"/>
              </w:rPr>
              <w:t>：</w:t>
            </w:r>
            <w:r>
              <w:rPr>
                <w:rFonts w:hint="default" w:ascii="仿宋" w:hAnsi="仿宋" w:eastAsia="仿宋" w:cs="仿宋"/>
                <w:sz w:val="24"/>
                <w:szCs w:val="24"/>
                <w:lang w:val="en-US" w:eastAsia="zh-CN"/>
              </w:rPr>
              <w:t>自中选签订合同至2024年12月31日</w:t>
            </w:r>
          </w:p>
          <w:p w14:paraId="7B29F9F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报价要求：</w:t>
            </w:r>
            <w:r>
              <w:rPr>
                <w:rFonts w:hint="default" w:ascii="仿宋" w:hAnsi="仿宋" w:eastAsia="仿宋" w:cs="仿宋"/>
                <w:sz w:val="24"/>
                <w:szCs w:val="24"/>
                <w:lang w:val="en-US" w:eastAsia="zh-CN"/>
              </w:rPr>
              <w:t>本项目服务费采用包干制，应包括服务成本、法定税费和企业的利润。</w:t>
            </w:r>
          </w:p>
        </w:tc>
      </w:tr>
    </w:tbl>
    <w:p w14:paraId="36BEDD7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5BD6D45C">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项目服务完成后，经采购人和中标供应商双方确认服务验收合格后，中标人提交付款申请并提供相应金额的增值税专用发票后，采购人在20个工作日内一次性支付合同金额的100%。</w:t>
      </w:r>
    </w:p>
    <w:p w14:paraId="58357F2A">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违约责任</w:t>
      </w:r>
    </w:p>
    <w:p w14:paraId="67857CFD">
      <w:pPr>
        <w:pStyle w:val="10"/>
        <w:keepNext w:val="0"/>
        <w:keepLines w:val="0"/>
        <w:pageBreakBefore w:val="0"/>
        <w:widowControl w:val="0"/>
        <w:numPr>
          <w:ilvl w:val="0"/>
          <w:numId w:val="4"/>
        </w:numPr>
        <w:tabs>
          <w:tab w:val="left" w:pos="0"/>
        </w:tabs>
        <w:kinsoku/>
        <w:wordWrap/>
        <w:overflowPunct/>
        <w:topLinePunct w:val="0"/>
        <w:autoSpaceDE/>
        <w:autoSpaceDN/>
        <w:bidi w:val="0"/>
        <w:adjustRightInd/>
        <w:snapToGrid/>
        <w:spacing w:after="0" w:line="360" w:lineRule="auto"/>
        <w:ind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乙方提供的服务不符合本合同规定的，甲方有权拒收，并且乙方须向甲方方支付本合同总价5%的违约金。</w:t>
      </w:r>
    </w:p>
    <w:p w14:paraId="03356E1B">
      <w:pPr>
        <w:pStyle w:val="10"/>
        <w:keepNext w:val="0"/>
        <w:keepLines w:val="0"/>
        <w:pageBreakBefore w:val="0"/>
        <w:widowControl w:val="0"/>
        <w:numPr>
          <w:ilvl w:val="0"/>
          <w:numId w:val="4"/>
        </w:numPr>
        <w:tabs>
          <w:tab w:val="left" w:pos="0"/>
        </w:tabs>
        <w:kinsoku/>
        <w:wordWrap/>
        <w:overflowPunct/>
        <w:topLinePunct w:val="0"/>
        <w:autoSpaceDE/>
        <w:autoSpaceDN/>
        <w:bidi w:val="0"/>
        <w:adjustRightInd/>
        <w:snapToGrid/>
        <w:spacing w:after="0" w:line="360" w:lineRule="auto"/>
        <w:ind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乙方未能按本合同规定的时间提供服务，从逾期之日起每日按本合同总价0.5‰的数额向甲方支付违约金；逾期15天（含15天）以上的，甲方有权终止合同，由此造成的甲方经济损失由乙方承担，乙方按照本条第一款规定承担违约金。</w:t>
      </w:r>
    </w:p>
    <w:p w14:paraId="7DE037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26A2CB41">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2D82144B">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57F7325F">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6818810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0BF30DD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09675524">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246E8CA3">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2662FD3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108AAAB1">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7FDF0D15">
      <w:pPr>
        <w:rPr>
          <w:rFonts w:hint="eastAsia" w:ascii="宋体" w:hAnsi="宋体" w:cs="宋体"/>
          <w:b/>
          <w:sz w:val="24"/>
          <w:szCs w:val="24"/>
        </w:rPr>
      </w:pPr>
      <w:r>
        <w:rPr>
          <w:rFonts w:hint="eastAsia" w:ascii="宋体" w:hAnsi="宋体" w:cs="宋体"/>
          <w:b/>
          <w:sz w:val="24"/>
          <w:szCs w:val="24"/>
        </w:rPr>
        <w:br w:type="page"/>
      </w:r>
    </w:p>
    <w:p w14:paraId="3B5E00F9">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64E7C2F3">
      <w:pPr>
        <w:tabs>
          <w:tab w:val="left" w:pos="8100"/>
        </w:tabs>
        <w:adjustRightInd w:val="0"/>
        <w:snapToGrid w:val="0"/>
        <w:spacing w:line="348" w:lineRule="auto"/>
        <w:rPr>
          <w:rFonts w:hint="eastAsia" w:ascii="宋体" w:hAnsi="宋体" w:cs="宋体"/>
          <w:b/>
          <w:sz w:val="24"/>
          <w:szCs w:val="24"/>
          <w:lang w:val="en-US" w:eastAsia="zh-CN"/>
        </w:rPr>
      </w:pPr>
    </w:p>
    <w:p w14:paraId="4DC63DE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34A8E723">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0EC1B4C6">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30B217B8">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4AEE3367">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广东生态工程职业学院采购湿地公园科普宣教设施标准化标识系统设计技术服务项目</w:t>
            </w:r>
          </w:p>
        </w:tc>
      </w:tr>
      <w:tr w14:paraId="1647BBB4">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0BA5517A">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2CCAE317">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2F702D36">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31493372">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43FC7912">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115D3A3">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16584A9">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6E67E381">
            <w:pPr>
              <w:autoSpaceDE w:val="0"/>
              <w:autoSpaceDN w:val="0"/>
              <w:adjustRightInd w:val="0"/>
              <w:spacing w:line="480" w:lineRule="exact"/>
              <w:jc w:val="center"/>
              <w:rPr>
                <w:rFonts w:ascii="宋体" w:hAnsi="宋体"/>
                <w:sz w:val="24"/>
              </w:rPr>
            </w:pPr>
          </w:p>
        </w:tc>
      </w:tr>
    </w:tbl>
    <w:p w14:paraId="2129C96E">
      <w:pPr>
        <w:pStyle w:val="5"/>
        <w:spacing w:line="480" w:lineRule="exact"/>
        <w:ind w:firstLine="100" w:firstLineChars="50"/>
        <w:rPr>
          <w:rFonts w:hAnsi="宋体"/>
        </w:rPr>
      </w:pPr>
      <w:r>
        <w:rPr>
          <w:rFonts w:hint="eastAsia" w:hAnsi="宋体"/>
        </w:rPr>
        <w:t>注：</w:t>
      </w:r>
    </w:p>
    <w:p w14:paraId="3D5EE507">
      <w:pPr>
        <w:pStyle w:val="5"/>
        <w:numPr>
          <w:ilvl w:val="0"/>
          <w:numId w:val="6"/>
        </w:numPr>
        <w:spacing w:line="0" w:lineRule="atLeast"/>
        <w:rPr>
          <w:rFonts w:hAnsi="宋体"/>
        </w:rPr>
      </w:pPr>
      <w:r>
        <w:rPr>
          <w:rFonts w:hint="eastAsia" w:hAnsi="宋体"/>
        </w:rPr>
        <w:t>本表报价包含完成本项目应预见和不可预见的一切含税费用。</w:t>
      </w:r>
    </w:p>
    <w:p w14:paraId="6BC65075">
      <w:pPr>
        <w:pStyle w:val="5"/>
        <w:numPr>
          <w:ilvl w:val="0"/>
          <w:numId w:val="6"/>
        </w:numPr>
        <w:spacing w:line="0" w:lineRule="atLeast"/>
        <w:rPr>
          <w:rFonts w:hAnsi="宋体"/>
        </w:rPr>
      </w:pPr>
      <w:r>
        <w:rPr>
          <w:rFonts w:hint="eastAsia"/>
        </w:rPr>
        <w:t>填写此表时不得改变表格的形式。</w:t>
      </w:r>
    </w:p>
    <w:p w14:paraId="773E2CFF">
      <w:pPr>
        <w:pStyle w:val="5"/>
        <w:numPr>
          <w:ilvl w:val="0"/>
          <w:numId w:val="6"/>
        </w:numPr>
        <w:spacing w:line="0" w:lineRule="atLeast"/>
        <w:rPr>
          <w:rFonts w:hAnsi="宋体"/>
        </w:rPr>
      </w:pPr>
      <w:r>
        <w:rPr>
          <w:rFonts w:hint="eastAsia"/>
        </w:rPr>
        <w:t>以上表中内容必须计算机录入、填写、打印。手写按无效报价处理。</w:t>
      </w:r>
    </w:p>
    <w:p w14:paraId="44B9FA4E">
      <w:pPr>
        <w:pStyle w:val="5"/>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48036EEE">
      <w:pPr>
        <w:pStyle w:val="5"/>
        <w:spacing w:line="0" w:lineRule="atLeast"/>
        <w:ind w:left="336"/>
        <w:rPr>
          <w:rFonts w:hAnsi="宋体"/>
          <w:color w:val="FF0000"/>
        </w:rPr>
      </w:pPr>
    </w:p>
    <w:p w14:paraId="572A47FC"/>
    <w:p w14:paraId="4E0DFC39"/>
    <w:p w14:paraId="2D4233E9">
      <w:pPr>
        <w:spacing w:line="480" w:lineRule="exact"/>
        <w:ind w:left="4599" w:leftChars="2190" w:firstLine="240" w:firstLineChars="100"/>
        <w:rPr>
          <w:rFonts w:ascii="宋体" w:hAnsi="宋体" w:cs="宋体"/>
          <w:sz w:val="24"/>
          <w:szCs w:val="24"/>
        </w:rPr>
      </w:pPr>
    </w:p>
    <w:p w14:paraId="3674C805">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6C801DB">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035A97B1">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2EEA610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6A98666F">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5B0A8FC0">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0746926B">
      <w:pPr>
        <w:rPr>
          <w:rFonts w:ascii="宋体" w:hAnsi="宋体" w:cs="宋体"/>
          <w:sz w:val="24"/>
          <w:szCs w:val="24"/>
        </w:rPr>
      </w:pPr>
    </w:p>
    <w:p w14:paraId="7DBE2E02">
      <w:pPr>
        <w:rPr>
          <w:rFonts w:ascii="宋体" w:hAnsi="宋体" w:cs="宋体"/>
          <w:sz w:val="24"/>
          <w:szCs w:val="24"/>
        </w:rPr>
      </w:pPr>
    </w:p>
    <w:p w14:paraId="7A42F57A">
      <w:pPr>
        <w:pStyle w:val="8"/>
      </w:pPr>
    </w:p>
    <w:p w14:paraId="549723CE">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633ADFFC">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794DB0D9">
      <w:pPr>
        <w:spacing w:line="560" w:lineRule="exact"/>
        <w:jc w:val="center"/>
        <w:rPr>
          <w:rFonts w:ascii="宋体" w:hAnsi="宋体"/>
          <w:b/>
          <w:sz w:val="28"/>
          <w:szCs w:val="28"/>
        </w:rPr>
      </w:pPr>
      <w:r>
        <w:rPr>
          <w:rFonts w:hint="eastAsia" w:ascii="宋体" w:hAnsi="宋体"/>
          <w:b/>
          <w:sz w:val="28"/>
          <w:szCs w:val="28"/>
        </w:rPr>
        <w:t xml:space="preserve">报价明细表    </w:t>
      </w:r>
    </w:p>
    <w:p w14:paraId="7EB8B64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572" w:type="pct"/>
        <w:jc w:val="center"/>
        <w:tblLayout w:type="fixed"/>
        <w:tblCellMar>
          <w:top w:w="0" w:type="dxa"/>
          <w:left w:w="108" w:type="dxa"/>
          <w:bottom w:w="0" w:type="dxa"/>
          <w:right w:w="108" w:type="dxa"/>
        </w:tblCellMar>
      </w:tblPr>
      <w:tblGrid>
        <w:gridCol w:w="1309"/>
        <w:gridCol w:w="5712"/>
        <w:gridCol w:w="2476"/>
      </w:tblGrid>
      <w:tr w14:paraId="4F2EDC4F">
        <w:tblPrEx>
          <w:tblCellMar>
            <w:top w:w="0" w:type="dxa"/>
            <w:left w:w="108" w:type="dxa"/>
            <w:bottom w:w="0" w:type="dxa"/>
            <w:right w:w="108" w:type="dxa"/>
          </w:tblCellMar>
        </w:tblPrEx>
        <w:trPr>
          <w:trHeight w:val="337"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7442F">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300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01690">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07292">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14:paraId="26656211">
        <w:tblPrEx>
          <w:tblCellMar>
            <w:top w:w="0" w:type="dxa"/>
            <w:left w:w="108" w:type="dxa"/>
            <w:bottom w:w="0" w:type="dxa"/>
            <w:right w:w="108" w:type="dxa"/>
          </w:tblCellMar>
        </w:tblPrEx>
        <w:trPr>
          <w:trHeight w:val="2554"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1495C">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湿地公园科普宣教设施标准化标识系统设计技术服务</w:t>
            </w:r>
          </w:p>
        </w:tc>
        <w:tc>
          <w:tcPr>
            <w:tcW w:w="5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FE71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采购内容：</w:t>
            </w:r>
            <w:r>
              <w:rPr>
                <w:rFonts w:hint="eastAsia" w:ascii="仿宋" w:hAnsi="仿宋" w:eastAsia="仿宋" w:cs="仿宋"/>
                <w:sz w:val="24"/>
                <w:szCs w:val="24"/>
                <w:lang w:val="en-US" w:eastAsia="zh-CN"/>
              </w:rPr>
              <w:t>综合考虑湿地公园的自然特色、文化背景、教育目标以及游客的实际需求，设计一套适用于广东省湿地公园科普宣教设施标准化标识系统。</w:t>
            </w:r>
          </w:p>
          <w:p w14:paraId="09BAB99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成果要求：</w:t>
            </w:r>
            <w:r>
              <w:rPr>
                <w:rFonts w:hint="default" w:ascii="仿宋" w:hAnsi="仿宋" w:eastAsia="仿宋" w:cs="仿宋"/>
                <w:sz w:val="24"/>
                <w:szCs w:val="24"/>
                <w:lang w:val="en-US" w:eastAsia="zh-CN"/>
              </w:rPr>
              <w:t>提交广东省湿地公园科普宣教设施标准化标识系统电子版1套。</w:t>
            </w:r>
          </w:p>
          <w:p w14:paraId="4913BF5B">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服务期</w:t>
            </w:r>
            <w:r>
              <w:rPr>
                <w:rFonts w:hint="eastAsia" w:ascii="仿宋" w:hAnsi="仿宋" w:eastAsia="仿宋" w:cs="仿宋"/>
                <w:b/>
                <w:bCs/>
                <w:sz w:val="24"/>
                <w:szCs w:val="24"/>
                <w:lang w:val="en-US" w:eastAsia="zh-CN"/>
              </w:rPr>
              <w:t>：</w:t>
            </w:r>
            <w:r>
              <w:rPr>
                <w:rFonts w:hint="default" w:ascii="仿宋" w:hAnsi="仿宋" w:eastAsia="仿宋" w:cs="仿宋"/>
                <w:sz w:val="24"/>
                <w:szCs w:val="24"/>
                <w:lang w:val="en-US" w:eastAsia="zh-CN"/>
              </w:rPr>
              <w:t>自中选签订合同至2024年12月31日</w:t>
            </w:r>
          </w:p>
          <w:p w14:paraId="0077AA96">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0" w:leftChars="0" w:firstLine="0" w:firstLineChars="0"/>
              <w:textAlignment w:val="auto"/>
              <w:rPr>
                <w:rFonts w:hint="default" w:eastAsia="仿宋"/>
                <w:lang w:val="en-US" w:eastAsia="zh-CN"/>
              </w:rPr>
            </w:pPr>
            <w:r>
              <w:rPr>
                <w:rFonts w:hint="eastAsia" w:ascii="仿宋" w:hAnsi="仿宋" w:eastAsia="仿宋" w:cs="仿宋"/>
                <w:b/>
                <w:bCs/>
                <w:sz w:val="24"/>
                <w:szCs w:val="24"/>
                <w:lang w:val="en-US" w:eastAsia="zh-CN"/>
              </w:rPr>
              <w:t>报价要求：</w:t>
            </w:r>
            <w:r>
              <w:rPr>
                <w:rFonts w:hint="default" w:ascii="仿宋" w:hAnsi="仿宋" w:eastAsia="仿宋" w:cs="仿宋"/>
                <w:sz w:val="24"/>
                <w:szCs w:val="24"/>
                <w:lang w:val="en-US" w:eastAsia="zh-CN"/>
              </w:rPr>
              <w:t>本项目服务费采用包干制，应包括服务成本、法定税费和企业的利润。</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D6AD9">
            <w:pPr>
              <w:widowControl/>
              <w:jc w:val="center"/>
              <w:textAlignment w:val="center"/>
              <w:rPr>
                <w:rFonts w:ascii="仿宋" w:hAnsi="仿宋" w:eastAsia="仿宋" w:cs="仿宋"/>
                <w:sz w:val="24"/>
              </w:rPr>
            </w:pPr>
          </w:p>
        </w:tc>
      </w:tr>
      <w:tr w14:paraId="73B1D02D">
        <w:tblPrEx>
          <w:tblCellMar>
            <w:top w:w="0" w:type="dxa"/>
            <w:left w:w="108" w:type="dxa"/>
            <w:bottom w:w="0" w:type="dxa"/>
            <w:right w:w="108" w:type="dxa"/>
          </w:tblCellMar>
        </w:tblPrEx>
        <w:trPr>
          <w:trHeight w:val="689" w:hRule="atLeast"/>
          <w:jc w:val="center"/>
        </w:trPr>
        <w:tc>
          <w:tcPr>
            <w:tcW w:w="3696"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B6B37">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219CA">
            <w:pPr>
              <w:widowControl/>
              <w:jc w:val="center"/>
              <w:textAlignment w:val="center"/>
              <w:rPr>
                <w:rFonts w:ascii="仿宋" w:hAnsi="仿宋" w:eastAsia="仿宋" w:cs="仿宋"/>
                <w:sz w:val="24"/>
              </w:rPr>
            </w:pPr>
          </w:p>
        </w:tc>
      </w:tr>
    </w:tbl>
    <w:p w14:paraId="7B38B1CA">
      <w:pPr>
        <w:snapToGrid w:val="0"/>
        <w:spacing w:line="460" w:lineRule="exac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合计</w:t>
      </w:r>
      <w:r>
        <w:rPr>
          <w:rFonts w:hint="eastAsia" w:hAnsi="宋体"/>
          <w:szCs w:val="21"/>
          <w:lang w:eastAsia="zh-CN"/>
        </w:rPr>
        <w:t>”</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610B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6BFB0B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EAC89B5">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0027EEA2">
      <w:pPr>
        <w:snapToGrid w:val="0"/>
        <w:spacing w:line="460" w:lineRule="exact"/>
        <w:ind w:firstLine="411" w:firstLineChars="196"/>
        <w:rPr>
          <w:rFonts w:hAnsi="宋体"/>
          <w:szCs w:val="21"/>
        </w:rPr>
      </w:pPr>
    </w:p>
    <w:p w14:paraId="50420B59">
      <w:pPr>
        <w:snapToGrid w:val="0"/>
        <w:spacing w:line="460" w:lineRule="exact"/>
        <w:ind w:firstLine="411" w:firstLineChars="196"/>
        <w:rPr>
          <w:rFonts w:hAnsi="宋体"/>
          <w:szCs w:val="21"/>
        </w:rPr>
      </w:pPr>
    </w:p>
    <w:p w14:paraId="28DAE941">
      <w:pPr>
        <w:rPr>
          <w:rFonts w:hint="eastAsia" w:ascii="宋体" w:hAnsi="宋体" w:cs="宋体"/>
          <w:b/>
          <w:sz w:val="24"/>
        </w:rPr>
      </w:pPr>
      <w:r>
        <w:rPr>
          <w:rFonts w:hint="eastAsia"/>
          <w:b/>
          <w:sz w:val="24"/>
        </w:rPr>
        <w:t>（注：本报价表为必要文件，必须加盖报价供应商公章，否则作无效报价处理）</w:t>
      </w:r>
    </w:p>
    <w:p w14:paraId="55D7587E">
      <w:pPr>
        <w:rPr>
          <w:rFonts w:hint="eastAsia" w:ascii="宋体" w:hAnsi="宋体" w:cs="宋体"/>
          <w:b/>
          <w:sz w:val="24"/>
        </w:rPr>
      </w:pPr>
      <w:r>
        <w:rPr>
          <w:rFonts w:hint="eastAsia" w:ascii="宋体" w:hAnsi="宋体" w:cs="宋体"/>
          <w:b/>
          <w:sz w:val="24"/>
        </w:rPr>
        <w:br w:type="page"/>
      </w:r>
    </w:p>
    <w:p w14:paraId="753EB63A">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1A6CA85A">
      <w:pPr>
        <w:pStyle w:val="3"/>
        <w:spacing w:before="0" w:after="0" w:line="400" w:lineRule="exact"/>
        <w:rPr>
          <w:rFonts w:ascii="宋体" w:hAnsi="宋体" w:cs="宋体"/>
          <w:szCs w:val="28"/>
        </w:rPr>
      </w:pPr>
    </w:p>
    <w:p w14:paraId="18924B13">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5FF39B3C">
      <w:pPr>
        <w:pStyle w:val="17"/>
        <w:widowControl w:val="0"/>
        <w:spacing w:line="480" w:lineRule="auto"/>
        <w:ind w:firstLine="0" w:firstLineChars="0"/>
        <w:jc w:val="left"/>
        <w:textAlignment w:val="auto"/>
        <w:rPr>
          <w:rFonts w:ascii="仿宋" w:hAnsi="仿宋" w:eastAsia="仿宋" w:cs="仿宋"/>
          <w:sz w:val="24"/>
          <w:szCs w:val="24"/>
        </w:rPr>
      </w:pPr>
    </w:p>
    <w:p w14:paraId="088C16C1">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14:paraId="1BB98019">
      <w:pPr>
        <w:pStyle w:val="17"/>
        <w:ind w:firstLine="480"/>
        <w:jc w:val="left"/>
        <w:rPr>
          <w:rFonts w:ascii="宋体" w:hAnsi="宋体" w:cs="宋体"/>
          <w:sz w:val="24"/>
          <w:szCs w:val="24"/>
        </w:rPr>
      </w:pPr>
    </w:p>
    <w:p w14:paraId="41ECE06C">
      <w:pPr>
        <w:tabs>
          <w:tab w:val="left" w:pos="676"/>
          <w:tab w:val="left" w:pos="2330"/>
          <w:tab w:val="left" w:pos="9230"/>
        </w:tabs>
        <w:autoSpaceDE w:val="0"/>
        <w:autoSpaceDN w:val="0"/>
        <w:adjustRightInd w:val="0"/>
        <w:rPr>
          <w:rFonts w:ascii="宋体" w:hAnsi="宋体" w:cs="宋体"/>
          <w:sz w:val="24"/>
          <w:szCs w:val="24"/>
        </w:rPr>
      </w:pPr>
    </w:p>
    <w:p w14:paraId="0AE3350E">
      <w:pPr>
        <w:tabs>
          <w:tab w:val="left" w:pos="676"/>
          <w:tab w:val="left" w:pos="2330"/>
          <w:tab w:val="left" w:pos="9230"/>
        </w:tabs>
        <w:autoSpaceDE w:val="0"/>
        <w:autoSpaceDN w:val="0"/>
        <w:adjustRightInd w:val="0"/>
        <w:rPr>
          <w:rFonts w:ascii="宋体" w:hAnsi="宋体" w:cs="宋体"/>
          <w:sz w:val="24"/>
          <w:szCs w:val="24"/>
        </w:rPr>
      </w:pPr>
    </w:p>
    <w:p w14:paraId="18D74D96">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167AB14E">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7AF9C75B">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75DFA98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308B65F5">
      <w:pPr>
        <w:rPr>
          <w:rFonts w:cs="Tahoma"/>
          <w:b/>
          <w:sz w:val="24"/>
        </w:rPr>
      </w:pPr>
    </w:p>
    <w:p w14:paraId="6212B3A8">
      <w:pPr>
        <w:rPr>
          <w:rFonts w:cs="Tahoma"/>
          <w:b/>
          <w:sz w:val="24"/>
        </w:rPr>
      </w:pPr>
    </w:p>
    <w:p w14:paraId="71BC6B75">
      <w:pPr>
        <w:rPr>
          <w:rFonts w:cs="Tahoma"/>
          <w:b/>
          <w:sz w:val="24"/>
        </w:rPr>
      </w:pPr>
    </w:p>
    <w:p w14:paraId="0100BDC4">
      <w:pPr>
        <w:rPr>
          <w:rFonts w:cs="Tahoma"/>
          <w:b/>
          <w:sz w:val="24"/>
        </w:rPr>
      </w:pPr>
    </w:p>
    <w:p w14:paraId="16D50925">
      <w:pPr>
        <w:rPr>
          <w:rFonts w:cs="Tahoma"/>
          <w:b/>
          <w:sz w:val="24"/>
        </w:rPr>
      </w:pPr>
    </w:p>
    <w:p w14:paraId="6D8E3157">
      <w:pPr>
        <w:rPr>
          <w:rFonts w:cs="Tahoma"/>
          <w:b/>
          <w:sz w:val="24"/>
        </w:rPr>
      </w:pPr>
    </w:p>
    <w:p w14:paraId="41D291D7">
      <w:pPr>
        <w:rPr>
          <w:rFonts w:cs="Tahoma"/>
          <w:b/>
          <w:sz w:val="24"/>
        </w:rPr>
      </w:pPr>
    </w:p>
    <w:p w14:paraId="407498C4">
      <w:pPr>
        <w:rPr>
          <w:rFonts w:cs="Tahoma"/>
          <w:b/>
          <w:sz w:val="24"/>
        </w:rPr>
      </w:pPr>
    </w:p>
    <w:p w14:paraId="758EC4CE">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8D43344"/>
    <w:multiLevelType w:val="singleLevel"/>
    <w:tmpl w:val="48D43344"/>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61158A"/>
    <w:rsid w:val="49A34401"/>
    <w:rsid w:val="4B1F346C"/>
    <w:rsid w:val="4C800A2A"/>
    <w:rsid w:val="4D1A2C2C"/>
    <w:rsid w:val="4D976207"/>
    <w:rsid w:val="4E3715BC"/>
    <w:rsid w:val="4E5F1402"/>
    <w:rsid w:val="4EA67132"/>
    <w:rsid w:val="508D3CB3"/>
    <w:rsid w:val="50E34490"/>
    <w:rsid w:val="5116195C"/>
    <w:rsid w:val="51C43A5E"/>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2091</Words>
  <Characters>2138</Characters>
  <Lines>0</Lines>
  <Paragraphs>0</Paragraphs>
  <TotalTime>1</TotalTime>
  <ScaleCrop>false</ScaleCrop>
  <LinksUpToDate>false</LinksUpToDate>
  <CharactersWithSpaces>2394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2024-11-18T04:45:37Z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73DF1C4129474E488C9DFA3E949F46AB_13</vt:lpwstr>
  </property>
</Properties>
</file>