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广东生态工程职业学院林业工程学院智慧监测综合实训室提升建设项目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广东生态工程职业学院林业工程学院智慧监测综合实训室提升建设项目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126000.00元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65BE1B2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报价供应商须具备广东省政府采购智慧云平台电子卖场-集采馆-定点集市-LED显示屏（定制化服务）资质，以截图纸质加盖公章为准。</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27</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0"/>
        <w:tblW w:w="90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2"/>
        <w:gridCol w:w="6096"/>
        <w:gridCol w:w="810"/>
        <w:gridCol w:w="741"/>
      </w:tblGrid>
      <w:tr w14:paraId="3147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8F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6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5D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7C6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79ED">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数量</w:t>
            </w:r>
          </w:p>
        </w:tc>
      </w:tr>
      <w:tr w14:paraId="395F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47C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LED室内全彩显示屏</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357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（一）基本参数</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1.像素结构：1R+1G＋1B； 表贴三合一 SMD1010 铜线铜支架黑灯；</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2.像素间距（mm）：1.25；</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3.模组分辨率（W×H）：256×128点；</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4.单元板尺寸（宽×高×深）：约320×160×15mm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5.模组重量（kg/块）：0.5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6.模组最大功耗（W/块）：12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7.像素密度（点/m2 ）：640000点/㎡；</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8.维护方式：磁吸前维护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9.显示屏亮度：800CD/㎡；</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10.色温（K）：8000—19000可调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11.水平视角（160°） ；垂直视角（160°）；</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12.对比度：5000:1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13.亮度均匀性：≥97%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14.色度均匀性：±0.003Cx,Cy 之内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15.最佳视距（m）：≥2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16.驱动方式：1/64扫恒流源驱动， 工作电压：+5V；</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17.换帧频率（Hz）：60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18.刷新率（Hz）：≥3840；</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19.单元板结构：灯驱合一板。单元板重量：1kg（连驱动板）；</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20.整块显示屏由结构相同的单元板组成，单元板可以互换</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（二）整屏显示与控制特性</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1．高对比度表贴雾黑灯珠，表面黑色雾化处理，不反射环境光，墨色一致性强</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2．灯珠防护：灯珠外层具备透明哑光保护层，采用纳米涂覆技术，阻隔灯珠与外部的接触，材质硬度等级HRC8 级，灯珠表面使用无划痕</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3．刷新率 ≥3840Hz，高刷新，支持通过配套控制软件调节刷新率设置选项（1920Hz-3840Hz可调范围）</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4．可视角度（产品视角） 按照SJ/T 11281-2017 发光二极管(LED)显示屏测试方法标准中的屏体视角测量要求与方法测得数据：CHIP型LED：水平视角≥170°/垂直视角≥170°，TOP 型LED：水平视角≥160°/垂直视角≥160°</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5．亮度均匀性（校正后）  ≥99.7% ；按照SJ/T 11281-2017 发光二极管(LED)显示屏测试方法标准中的屏体亮度均匀性测量要求与方法，其亮度均匀性（校正后）满足要求</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6．低亮高灰: 支持软件实现0-100%不同亮度情况下，灰度</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t>12-16bits任意设置：100%亮度@16bits，50%亮度@14bits，20%亮度@12bits</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7．像素点失控（坏点或盲点）率 ≤1/1000000 ，无连续失控点</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8．对比度 ≥5000:1 （0.5lux 下，全白和起辉亮度对比）</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9．响应时间 纳秒级，急速响应不拖尾、无鬼影</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10．可视距离 最佳可视距离1m-50m</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11．屏体自检 可以支持LED单点失控点检测，失控点数据回传功能; 可以支持电源电压检测，当电源电压高于限制电压时启动报警装置;可以支持屏体多点测温：支持单个屏幕温度检测，针对大屏启动多点测温系统，均衡散热，防止局部温度过高造成色彩漂移;可以支持温度监控：实时检测显示屏温度值，具有高温自动告警功能;可以支持故障报警：实时检测显示屏工作状态，具有故障自动告警功能;可以支持一键自检</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12．灰度处理等级 ≥16bits</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13．画面延时 ≤1ms</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14．显示效果 :符合“SJ/T11141-2017 LED显示屏通用规范”、“SJ/T11281-2017 发光二极管LED显示屏测试方法”，具备消除鬼影和拖尾功能</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15．图像处理能力 具备NTSC、PAL、EBU、DCI-P3、SRGB等不同色域标准的图像处理能力;具备12位4：4：4 超高清视频源画质处理能力;具备HDR、HDR10、HDR10+ 等高动态色彩处理能力;具备YUV、RGB、sRGB、Adobe RGB、XYZ等色彩空间定义的不同颜色格式转换显示的能力</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16．显示模式调节 具有显示模式调节功能 </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17．电源 产品使用无风扇静音设计并带PFC功能的开关电源，功率因素≥0.95 ，电源效率≥90% @25℃</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18．工作电压 可以支持窄幅配置：180VAC-264VAC（50-60Hz）可正常工作; 可以支持宽幅配置：90VAC-264VAC（50-60Hz）可正常工作</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19．使用寿命 ≥100000h，平均无故障使用时间不低于10000h</w:t>
            </w:r>
            <w:r>
              <w:rPr>
                <w:rFonts w:hint="eastAsia" w:asciiTheme="minorEastAsia" w:hAnsiTheme="minorEastAsia" w:cstheme="minorEastAsia"/>
                <w:i w:val="0"/>
                <w:iCs w:val="0"/>
                <w:color w:val="000000"/>
                <w:kern w:val="0"/>
                <w:sz w:val="21"/>
                <w:szCs w:val="21"/>
                <w:u w:val="none"/>
                <w:lang w:val="en-US" w:eastAsia="zh-CN" w:bidi="ar"/>
              </w:rPr>
              <w:t>；</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20．系统防护 显示屏具有防潮、防尘、防腐蚀、防虫、防燃烧、抗UV紫外线、防静电、抗静电、防震、防电磁干扰、能适应一般恶劣气候等功能，并具有过流、短路、过压、欠压的保护和抗雷击、抗震抗风的功能、系统具有烟雾报警和过温报警功能</w:t>
            </w:r>
            <w:r>
              <w:rPr>
                <w:rFonts w:hint="eastAsia" w:asciiTheme="minorEastAsia" w:hAnsiTheme="minorEastAsia" w:cstheme="minorEastAsia"/>
                <w:i w:val="0"/>
                <w:iCs w:val="0"/>
                <w:color w:val="000000"/>
                <w:kern w:val="0"/>
                <w:sz w:val="21"/>
                <w:szCs w:val="21"/>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96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891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r>
      <w:tr w14:paraId="07031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C99F">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压铸铝箱体</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F0A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前维护压铸铝箱体640*480mm等</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CDC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833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r>
      <w:tr w14:paraId="4F2A6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1F8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二合一同步发送处理器</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038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输入接口：DVI-D、HDMI、VGA 、SDI、支持自定义分辨率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F21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6739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r>
      <w:tr w14:paraId="1727B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CD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同步接收系统</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08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功能要求</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1.支持数据库显示功能；</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2.支持表格输入功能；</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3.支持网络功能；</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4.支持后台播放、定时播放、多窗口多任务同时播放；</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5.支持Word，Excel文件、文本文件、所有的视频动画格式文件、所有图片格式文件、有线电视等；</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6.可为节目窗叠加背景音乐；</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7.支持日期、时间、日期+时间、模拟时钟等各种正负计时功能；</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8.支持日历可透明显示；</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9.可自动播放多个任务；</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10.提供外部程序接口；</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11.视频源色度、饱和度、亮度、对比度软件调节，亮度调节要求软件100级可调；</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12.灰度/颜色：红绿蓝各1024级，可显示16.7M颜色。</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D9E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项</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6F5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w:t>
            </w:r>
          </w:p>
        </w:tc>
      </w:tr>
      <w:tr w14:paraId="28273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2B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音响系统</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A68F">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一、音箱（4只）</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1.两分频全音域无源8"点声源音箱，定位高质量和高清晰语音要求的空间环境使用，外形优雅可与各类房间设计融为一体；</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2.音箱特有的高、中、低音域声音的传播及高保真度；</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3.超高性能的驱动单元，采用了钕铁硼高强磁钢，实现高效率、高功率输入并带来高声压、低失真的内在表现；</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4.5面不规则箱体构建多场合多用途应用需求；</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5.采用对称斜面屏障设计技术，声音在水平方向均匀扩散，保证获得良好的声音；</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6.100°(H) x 100°(V）圆锥形点声源的辐射角度合理分配高低频能量；</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7.箱体顶部与底部配支架孔，后面有壁挂安装孔，方便安装或与超低音配套组成一体化扩声；</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8.多达12处的M8吊装点配合可调角度的吊架，方便任何方式和形式的吊装；</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9.单元尺寸：≥8英寸低音；≥1.45英寸高音；</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10.额定功率：≥150W；</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11.峰值功率：≥350W；</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12.频率响应：55HZ-20KHZ(±3dB)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13.阻抗：8Ω；</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14.分频点：2.5KHz；</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15.灵敏度（SPL/1W @ 1m）:≥93dB；</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16.最大声压级：≥110dB。</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000000"/>
                <w:kern w:val="0"/>
                <w:sz w:val="21"/>
                <w:szCs w:val="21"/>
                <w:u w:val="none"/>
                <w:lang w:val="en-US" w:eastAsia="zh-CN" w:bidi="ar"/>
              </w:rPr>
              <w:t>二、多功能型功率放大器（1只）</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1.采用音频专用对管，全进口音频专用电解，整机电磁屏蔽设计，针对设计的人声演唱前级电路，人声演绎更轻松，定制变压器，高度集成化模块设计；</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2.采用DSP全数字混响，具有6级移频抑制话筒防啸叫功能；</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3.内置有卡拉OK激励效果功能，设有多种音源输入端口；</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4.内置低漏磁大环牛，大电解，有强力的风扇散热；</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5.特设有点歌机和VOD系统的专用通道及光纤同轴输入；</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6.具备BALANCE音乐平衡控制旋钮，话筒音量和音乐音量锁定控制旋钮；</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7.具备ECHO数码混响强度调整控制，顺时针效果增强，逆时针效果减弱；</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8.具备MIC VOLUME话筒总音量控制，顺时针效果增强，逆时针效果减弱；</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9.具备MUSIC VOLUME话筒总音量控制，顺时针效果增强，逆时针效果减弱；</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10.具备REPEAT话筒回音重复次数控制旋钮，顺时针回音重复次数愈多，逆时针回音重复次数愈短；</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11.具备DELAY话筒回音延时时间，顺时针回音延长时间愈长，逆时针回音重复次数愈短；</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12.具备TREBLE音乐\话筒高音控制旋钮、BASS音乐\话筒低音控制旋钮；</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13.整体设计采用隐藏式调节，完善的过载短路保护扬声器；</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14.MP3播放器带LED数字屏显示，更直观；</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15.内置蓝牙功能，更方便使用；</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16.功率:8Ω/2*≥450W,4Ω/2*≥600W。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000000"/>
                <w:kern w:val="0"/>
                <w:sz w:val="21"/>
                <w:szCs w:val="21"/>
                <w:u w:val="none"/>
                <w:lang w:val="en-US" w:eastAsia="zh-CN" w:bidi="ar"/>
              </w:rPr>
              <w:t>三、无线会议话筒（1套）</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1.全新数字板块，高效抑制噪声线路，防啸叫功能显著，单一指向型拾音咪管设计，拾音效果清晰，人声还原度高；</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2.产品采用杂音干扰较少的UHF频段PLL相位锁定技术，红外式自动对频，可调频多通道无线会议麦克风；</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3.完美的抗杂讯干扰特性线路，抗干扰性更强；</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4.红外式自动对频功能，将发射机红外对频窗口对准接收机的红外对频窗口，红外线即可自动搜寻对应频点；</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5.单通道ID加导加密，音频动态强、信号更稳定；</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6.会议底座采用独立外观设计，液晶显示屏更大，工作频率等一目了然；</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7.主机支持两个独立平衡输出口和一个6.35mm的混合输出插口，全面适应各种连；</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接收机参数</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8.振荡方式: 锁相环频率合成；</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9.频率范围：UHF610MHz～690MHz；</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10.调制方式：FM；</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11.信噪比)：&gt;98dB；</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12.失真度:&lt;0.5%@1KHz；           </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发射器参数：</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13.话筒耗电量：100mA；</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14.载波频率(：UHF 610MHz～690MHz；</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15.信噪比：&gt;98dB；</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16.动态范围：≥100dB；</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17.类型：电容式；</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18.频率响应：18Hz～20KHz；</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19.持续使用时间：8小时</w:t>
            </w:r>
            <w:r>
              <w:rPr>
                <w:rFonts w:hint="eastAsia" w:asciiTheme="minorEastAsia" w:hAnsiTheme="minorEastAsia" w:cstheme="minorEastAsia"/>
                <w:i w:val="0"/>
                <w:iCs w:val="0"/>
                <w:color w:val="000000"/>
                <w:kern w:val="0"/>
                <w:sz w:val="21"/>
                <w:szCs w:val="21"/>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B25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套</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CA3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r>
      <w:tr w14:paraId="04B4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89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标准配电开关</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13C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智能上电，分路上电，定时上电，过压保护</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F83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ED2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r>
      <w:tr w14:paraId="319C7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8F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同屏控制器</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1AC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支持窗口最大分辨率1920*1080</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采用64位4核处理器，1G运行内存，工控系统</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采用一路HDMI输出，自带8G内存，5V电源适配器供电。</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预装云平台信息发布系统（包含二年的网络信息平台使用费）</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8F2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2C5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r>
      <w:tr w14:paraId="5EC0B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jc w:val="center"/>
        </w:trPr>
        <w:tc>
          <w:tcPr>
            <w:tcW w:w="1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04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框架</w:t>
            </w:r>
          </w:p>
        </w:tc>
        <w:tc>
          <w:tcPr>
            <w:tcW w:w="6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AA2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屏幕安装结构制作、内部五金框架结构</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25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F7D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4"/>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6A273911">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提交广东省政府采购智慧云平台电子卖场-集采馆-定点集市-LED显示屏（定制化服务）资质，以截图纸质加盖公章为准。。</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4"/>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4"/>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0"/>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广东生态工程职业学院林业工程学院智慧监测综合实训室提升建设项目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5"/>
        <w:spacing w:line="480" w:lineRule="exact"/>
        <w:ind w:firstLine="100" w:firstLineChars="50"/>
        <w:rPr>
          <w:rFonts w:hAnsi="宋体"/>
        </w:rPr>
      </w:pPr>
      <w:r>
        <w:rPr>
          <w:rFonts w:hint="eastAsia" w:hAnsi="宋体"/>
        </w:rPr>
        <w:t>注：</w:t>
      </w:r>
    </w:p>
    <w:p w14:paraId="06CA7157">
      <w:pPr>
        <w:pStyle w:val="5"/>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5"/>
        <w:numPr>
          <w:ilvl w:val="0"/>
          <w:numId w:val="6"/>
        </w:numPr>
        <w:spacing w:line="0" w:lineRule="atLeast"/>
        <w:rPr>
          <w:rFonts w:hAnsi="宋体"/>
        </w:rPr>
      </w:pPr>
      <w:r>
        <w:rPr>
          <w:rFonts w:hint="eastAsia"/>
        </w:rPr>
        <w:t>填写此表时不得改变表格的形式。</w:t>
      </w:r>
    </w:p>
    <w:p w14:paraId="5E0CA0D7">
      <w:pPr>
        <w:pStyle w:val="5"/>
        <w:numPr>
          <w:ilvl w:val="0"/>
          <w:numId w:val="6"/>
        </w:numPr>
        <w:spacing w:line="0" w:lineRule="atLeast"/>
        <w:rPr>
          <w:rFonts w:hAnsi="宋体"/>
        </w:rPr>
      </w:pPr>
      <w:r>
        <w:rPr>
          <w:rFonts w:hint="eastAsia"/>
        </w:rPr>
        <w:t>以上表中内容必须计算机录入、填写、打印。手写按无效报价处理。</w:t>
      </w:r>
    </w:p>
    <w:p w14:paraId="5EB96584">
      <w:pPr>
        <w:pStyle w:val="5"/>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5"/>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8"/>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0"/>
        <w:tblW w:w="10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2"/>
        <w:gridCol w:w="4719"/>
        <w:gridCol w:w="747"/>
        <w:gridCol w:w="937"/>
        <w:gridCol w:w="1456"/>
        <w:gridCol w:w="1556"/>
      </w:tblGrid>
      <w:tr w14:paraId="606D8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3F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4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27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性能参数</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F6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06C8">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3EFE">
            <w:pPr>
              <w:keepNext w:val="0"/>
              <w:keepLines w:val="0"/>
              <w:widowControl/>
              <w:suppressLineNumbers w:val="0"/>
              <w:jc w:val="center"/>
              <w:textAlignment w:val="center"/>
              <w:rPr>
                <w:rFonts w:hint="default" w:ascii="等线" w:hAnsi="等线" w:eastAsia="等线" w:cs="等线"/>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单价（元）</w:t>
            </w: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735A7">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总价（元）</w:t>
            </w:r>
          </w:p>
        </w:tc>
      </w:tr>
      <w:tr w14:paraId="069B7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4"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0703">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LED室内全彩显示屏</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03AA">
            <w:pPr>
              <w:keepNext w:val="0"/>
              <w:keepLines w:val="0"/>
              <w:widowControl/>
              <w:suppressLineNumbers w:val="0"/>
              <w:spacing w:line="240" w:lineRule="auto"/>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（一）基本参数</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1.像素结构：1R+1G＋1B； 表贴三合一 SMD1010 铜线铜支架黑灯；</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2.像素间距（mm）：1.25；</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3.模组分辨率（W×H）：256×128点；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4.单元板尺寸（宽×高×深）：约320×160×15mm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5.模组重量（kg/块）：0.5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6.模组最大功耗（W/块）：12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7.像素密度（点/m2 ）：640000点/㎡；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8.维护方式：磁吸前维护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9.显示屏亮度：800CD/㎡；</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10.色温（K）：8000—19000可调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11.水平视角（160°） ；垂直视角（160°）；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12.对比度：5000:1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13.亮度均匀性：≥97%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14.色度均匀性：±0.003Cx,Cy 之内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15.最佳视距（m）：≥2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16.驱动方式：1/64扫恒流源驱动， 工作电压：+5V；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17.换帧频率（Hz）：60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18.刷新率（Hz）：≥3840；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19.单元板结构：灯驱合一板。单元板重量：1kg（连驱动板）；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20.整块显示屏由结构相同的单元板组成，单元板可以互换</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（二）整屏显示与控制特性</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1．高对比度表贴雾黑灯珠，表面黑色雾化处理，不反射环境光，墨色一致性强</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2．灯珠防护：灯珠外层具备透明哑光保护层，采用纳米涂覆技术，阻隔灯珠与外部的接触，材质硬度等级HRC8 级，灯珠表面使用无划痕</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3．刷新率 ≥3840Hz，高刷新，支持通过配套控制软件调节刷新率设置选项（1920Hz-3840Hz可调范围）</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4．可视角度（产品视角） 按照SJ/T 11281-2017 发光二极管(LED)显示屏测试方法标准中的屏体视角测量要求与方法测得数据：CHIP型LED：水平视角≥170°/垂直视角≥170°，TOP 型LED：水平视角≥160°/垂直视角≥160°</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5．亮度均匀性（校正后）  ≥99.7% ；按照SJ/T 11281-2017 发光二极管(LED)显示屏测试方法标准中的屏体亮度均匀性测量要求与方法，其亮度均匀性（校正后）满足要求</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6．低亮高灰: 支持软件实现0-100%不同亮度情况下，灰度</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t>12-16bits任意设置：100%亮度@16bits，50%亮度@14bits，20%亮度@12bits</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7．像素点失控（坏点或盲点）率 ≤1/1000000 ，无连续失控点</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8．对比度 ≥5000:1 （0.5lux 下，全白和起辉亮度对比）</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9．响应时间 纳秒级，急速响应不拖尾、无鬼影</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10．可视距离 最佳可视距离1m-50m</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11．屏体自检 可以支持LED单点失控点检测，失控点数据回传功能; 可以支持电源电压检测，当电源电压高于限制电压时启动报警装置;可以支持屏体多点测温：支持单个屏幕温度检测，针对大屏启动多点测温系统，均衡散热，防止局部温度过高造成色彩漂移;可以支持温度监控：实时检测显示屏温度值，具有高温自动告警功能;可以支持故障报警：实时检测显示屏工作状态，具有故障自动告警功能;可以支持一键自检</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12．灰度处理等级 ≥16bits</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13．画面延时 ≤1ms</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14．显示效果 :符合“SJ/T11141-2017 LED显示屏通用规范”、“SJ/T11281-2017 发光二极管LED显示屏测试方法”，具备消除鬼影和拖尾功能</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15．图像处理能力 具备NTSC、PAL、EBU、DCI-P3、SRGB等不同色域标准的图像处理能力;具备12位4：4：4 超高清视频源画质处理能力;具备HDR、HDR10、HDR10+ 等高动态色彩处理能力;具备YUV、RGB、sRGB、Adobe RGB、XYZ等色彩空间定义的不同颜色格式转换显示的能力</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16．显示模式调节 具有显示模式调节功能 </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17．电源 产品使用无风扇静音设计并带PFC功能的开关电源，功率因素≥0.95 ，电源效率≥90% @25℃</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18．工作电压 可以支持窄幅配置：180VAC-264VAC（50-60Hz）可正常工作; 可以支持宽幅配置：90VAC-264VAC（50-60Hz）可正常工作</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19．使用寿命 ≥100000h，平均无故障使用时间不低于10000h</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20．系统防护 显示屏具有防潮、防尘、防腐蚀、防虫、防燃烧、抗UV紫外线、防静电、抗静电、防震、防电磁干扰、能适应一般恶劣气候等功能，并具有过流、短路、过压、欠压的保护和抗雷击、抗震抗风的功能、系统具有烟雾报警和过温报警功能</w:t>
            </w:r>
            <w:r>
              <w:rPr>
                <w:rFonts w:hint="eastAsia" w:asciiTheme="minorEastAsia" w:hAnsiTheme="minorEastAsia" w:cstheme="minorEastAsia"/>
                <w:i w:val="0"/>
                <w:iCs w:val="0"/>
                <w:color w:val="000000"/>
                <w:kern w:val="0"/>
                <w:sz w:val="18"/>
                <w:szCs w:val="18"/>
                <w:u w:val="none"/>
                <w:lang w:val="en-US" w:eastAsia="zh-CN" w:bidi="ar"/>
              </w:rPr>
              <w:t>。</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10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435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6</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3966">
            <w:pPr>
              <w:jc w:val="center"/>
              <w:rPr>
                <w:rFonts w:hint="eastAsia" w:ascii="等线" w:hAnsi="等线" w:eastAsia="等线" w:cs="等线"/>
                <w:i w:val="0"/>
                <w:iCs w:val="0"/>
                <w:color w:val="000000"/>
                <w:sz w:val="22"/>
                <w:szCs w:val="22"/>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6CAC">
            <w:pPr>
              <w:jc w:val="center"/>
              <w:rPr>
                <w:rFonts w:hint="eastAsia" w:ascii="等线" w:hAnsi="等线" w:eastAsia="等线" w:cs="等线"/>
                <w:i w:val="0"/>
                <w:iCs w:val="0"/>
                <w:color w:val="000000"/>
                <w:sz w:val="22"/>
                <w:szCs w:val="22"/>
                <w:u w:val="none"/>
              </w:rPr>
            </w:pPr>
          </w:p>
        </w:tc>
      </w:tr>
      <w:tr w14:paraId="262B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BCF2">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压铸铝箱体</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5D4C">
            <w:pPr>
              <w:keepNext w:val="0"/>
              <w:keepLines w:val="0"/>
              <w:widowControl/>
              <w:suppressLineNumbers w:val="0"/>
              <w:spacing w:line="240" w:lineRule="auto"/>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前维护压铸铝箱体640*480mm等</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857F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C4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6</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8C4D">
            <w:pPr>
              <w:jc w:val="center"/>
              <w:rPr>
                <w:rFonts w:hint="eastAsia" w:ascii="等线" w:hAnsi="等线" w:eastAsia="等线" w:cs="等线"/>
                <w:i w:val="0"/>
                <w:iCs w:val="0"/>
                <w:color w:val="000000"/>
                <w:sz w:val="22"/>
                <w:szCs w:val="22"/>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B601">
            <w:pPr>
              <w:jc w:val="center"/>
              <w:rPr>
                <w:rFonts w:hint="eastAsia" w:ascii="等线" w:hAnsi="等线" w:eastAsia="等线" w:cs="等线"/>
                <w:i w:val="0"/>
                <w:iCs w:val="0"/>
                <w:color w:val="000000"/>
                <w:sz w:val="22"/>
                <w:szCs w:val="22"/>
                <w:u w:val="none"/>
              </w:rPr>
            </w:pPr>
          </w:p>
        </w:tc>
      </w:tr>
      <w:tr w14:paraId="4802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E364">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二合一同步发送处理器</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D0F3">
            <w:pPr>
              <w:keepNext w:val="0"/>
              <w:keepLines w:val="0"/>
              <w:widowControl/>
              <w:suppressLineNumbers w:val="0"/>
              <w:spacing w:line="240" w:lineRule="auto"/>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输入接口：DVI-D、HDMI、VGA 、SDI、支持自定义分辨率</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9F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台</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27A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98E8">
            <w:pPr>
              <w:jc w:val="center"/>
              <w:rPr>
                <w:rFonts w:hint="eastAsia" w:ascii="等线" w:hAnsi="等线" w:eastAsia="等线" w:cs="等线"/>
                <w:i w:val="0"/>
                <w:iCs w:val="0"/>
                <w:color w:val="000000"/>
                <w:sz w:val="22"/>
                <w:szCs w:val="22"/>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1919">
            <w:pPr>
              <w:jc w:val="center"/>
              <w:rPr>
                <w:rFonts w:hint="eastAsia" w:ascii="等线" w:hAnsi="等线" w:eastAsia="等线" w:cs="等线"/>
                <w:i w:val="0"/>
                <w:iCs w:val="0"/>
                <w:color w:val="000000"/>
                <w:sz w:val="22"/>
                <w:szCs w:val="22"/>
                <w:u w:val="none"/>
              </w:rPr>
            </w:pPr>
          </w:p>
        </w:tc>
      </w:tr>
      <w:tr w14:paraId="1F309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2"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E3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同步接收系统</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03C3">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功能要求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1.支持数据库显示功能；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2.支持表格输入功能；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3.支持网络功能；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4.支持后台播放、定时播放、多窗口多任务同时播放；</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5.支持Word，Excel文件、文本文件、所有的视频动画格式文件、所有图片格式文件、有线电视等；</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6.可为节目窗叠加背景音乐；</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7.支持日期、时间、日期+时间、模拟时钟等各种正负计时功能；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8.支持日历可透明显示；</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9.可自动播放多个任务；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10.提供外部程序接口；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11.视频源色度、饱和度、亮度、对比度软件调节，亮度调节要求软件100级可调；</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12.灰度/颜色：红绿蓝各1024级，可显示16.7M颜色。</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5F33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项</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30C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10</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4985">
            <w:pPr>
              <w:jc w:val="center"/>
              <w:rPr>
                <w:rFonts w:hint="eastAsia" w:ascii="等线" w:hAnsi="等线" w:eastAsia="等线" w:cs="等线"/>
                <w:i w:val="0"/>
                <w:iCs w:val="0"/>
                <w:color w:val="000000"/>
                <w:sz w:val="22"/>
                <w:szCs w:val="22"/>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D079">
            <w:pPr>
              <w:jc w:val="center"/>
              <w:rPr>
                <w:rFonts w:hint="eastAsia" w:ascii="等线" w:hAnsi="等线" w:eastAsia="等线" w:cs="等线"/>
                <w:i w:val="0"/>
                <w:iCs w:val="0"/>
                <w:color w:val="000000"/>
                <w:sz w:val="22"/>
                <w:szCs w:val="22"/>
                <w:u w:val="none"/>
              </w:rPr>
            </w:pPr>
          </w:p>
        </w:tc>
      </w:tr>
      <w:tr w14:paraId="65AB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1"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B9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音响系统</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979B">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一、音箱（4只）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1.两分频全音域无源8"点声源音箱，定位高质量和高清晰语音要求的空间环境使用，外形优雅可与各类房间设计融为一体；</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2.音箱特有的高、中、低音域声音的传播及高保真度；</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3.超高性能的驱动单元，采用了钕铁硼高强磁钢，实现高效率、高功率输入并带来高声压、低失真的内在表现；</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4.5面不规则箱体构建多场合多用途应用需求；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5.采用对称斜面屏障设计技术，声音在水平方向均匀扩散，保证获得良好的声音；</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6.100°(H) x 100°(V）圆锥形点声源的辐射角度合理分配高低频能量；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7.箱体顶部与底部配支架孔，后面有壁挂安装孔，方便安装或与超低音配套组成一体化扩声；</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8.多达12处的M8吊装点配合可调角度的吊架，方便任何方式和形式的吊装；</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9.单元尺寸：≥8英寸低音；≥1.45英寸高音；</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10.额定功率：≥150W；</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11.峰值功率：≥350W；</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12.频率响应：55HZ-20KHZ(±3dB)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13.阻抗：8Ω；</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14.分频点：2.5KHz；</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15.灵敏度（SPL/1W @ 1m）:≥93dB；</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16.最大声压级：≥110dB。</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b/>
                <w:bCs/>
                <w:i w:val="0"/>
                <w:iCs w:val="0"/>
                <w:color w:val="000000"/>
                <w:kern w:val="0"/>
                <w:sz w:val="18"/>
                <w:szCs w:val="18"/>
                <w:u w:val="none"/>
                <w:lang w:val="en-US" w:eastAsia="zh-CN" w:bidi="ar"/>
              </w:rPr>
              <w:t>二、多功能型功率放大器（1只）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1.采用音频专用对管，全进口音频专用电解，整机电磁屏蔽设计，针对设计的人声演唱前级电路，人声演绎更轻松，定制变压器，高度集成化模块设计；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2.采用DSP全数字混响，具有6级移频抑制话筒防啸叫功能；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3.内置有卡拉OK激励效果功能，设有多种音源输入端口；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4.内置低漏磁大环牛，大电解，有强力的风扇散热；</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5.特设有点歌机和VOD系统的专用通道及光纤同轴输入；</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6.具备BALANCE音乐平衡控制旋钮，话筒音量和音乐音量锁定控制旋钮；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7.具备ECHO数码混响强度调整控制，顺时针效果增强，逆时针效果减弱；</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8.具备MIC VOLUME话筒总音量控制，顺时针效果增强，逆时针效果减弱；</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9.具备MUSIC VOLUME话筒总音量控制，顺时针效果增强，逆时针效果减弱；</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10.具备REPEAT话筒回音重复次数控制旋钮，顺时针回音重复次数愈多，逆时针回音重复次数愈短；</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11.具备DELAY话筒回音延时时间，顺时针回音延长时间愈长，逆时针回音重复次数愈短；</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12.具备TREBLE音乐\话筒高音控制旋钮、BASS音乐\话筒低音控制旋钮；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13.整体设计采用隐藏式调节，完善的过载短路保护扬声器；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14.MP3播放器带LED数字屏显示，更直观；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15.内置蓝牙功能，更方便使用；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16.功率:8Ω/2*≥450W,4Ω/2*≥600W。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b/>
                <w:bCs/>
                <w:i w:val="0"/>
                <w:iCs w:val="0"/>
                <w:color w:val="000000"/>
                <w:kern w:val="0"/>
                <w:sz w:val="18"/>
                <w:szCs w:val="18"/>
                <w:u w:val="none"/>
                <w:lang w:val="en-US" w:eastAsia="zh-CN" w:bidi="ar"/>
              </w:rPr>
              <w:t>三、无线会议话筒（1套）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1.全新数字板块，高效抑制噪声线路，防啸叫功能显著，单一指向型拾音咪管设计，拾音效果清晰，人声还原度高；</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2.产品采用杂音干扰较少的UHF频段PLL相位锁定技术，红外式自动对频，可调频多通道无线会议麦克风；</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3.完美的抗杂讯干扰特性线路，抗干扰性更强；</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4.红外式自动对频功能，将发射机红外对频窗口对准接收机的红外对频窗口，红外线即可自动搜寻对应频点；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5.单通道ID加导加密，音频动态强、信号更稳定；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6.会议底座采用独立外观设计，液晶显示屏更大，工作频率等一目了然；</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7.主机支持两个独立平衡输出口和一个6.35mm的混合输出插口，全面适应各种连；</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接收机参数</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8.振荡方式: 锁相环频率合成；</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9.频率范围：UHF610MHz～690MHz；</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10.调制方式：FM；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11.信噪比)：&gt;98dB；</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12.失真度:&lt;0.5%@1KHz；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发射器参数：</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13.话筒耗电量：100mA；</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14.载波频率(：UHF 610MHz～690MHz；</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15.信噪比：&gt;98dB；</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16.动态范围：≥100dB；</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17.类型：电容式；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18.频率响应：18Hz～20KHz；</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19.持续使用时间：8小时</w:t>
            </w:r>
            <w:r>
              <w:rPr>
                <w:rFonts w:hint="eastAsia" w:asciiTheme="minorEastAsia" w:hAnsiTheme="minorEastAsia" w:cstheme="minorEastAsia"/>
                <w:i w:val="0"/>
                <w:iCs w:val="0"/>
                <w:color w:val="000000"/>
                <w:kern w:val="0"/>
                <w:sz w:val="18"/>
                <w:szCs w:val="18"/>
                <w:u w:val="none"/>
                <w:lang w:val="en-US" w:eastAsia="zh-CN" w:bidi="ar"/>
              </w:rPr>
              <w:t>。</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2EF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套</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342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1C54">
            <w:pPr>
              <w:jc w:val="center"/>
              <w:rPr>
                <w:rFonts w:hint="eastAsia" w:ascii="等线" w:hAnsi="等线" w:eastAsia="等线" w:cs="等线"/>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7866">
            <w:pPr>
              <w:jc w:val="center"/>
              <w:rPr>
                <w:rFonts w:hint="eastAsia" w:ascii="等线" w:hAnsi="等线" w:eastAsia="等线" w:cs="等线"/>
                <w:i w:val="0"/>
                <w:iCs w:val="0"/>
                <w:color w:val="000000"/>
                <w:sz w:val="18"/>
                <w:szCs w:val="18"/>
                <w:u w:val="none"/>
              </w:rPr>
            </w:pPr>
          </w:p>
        </w:tc>
      </w:tr>
      <w:tr w14:paraId="02F8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39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标准配电开关</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F5BD">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智能上电，分路上电，定时上电，过压保护</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1B6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台</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BF2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9187">
            <w:pPr>
              <w:jc w:val="center"/>
              <w:rPr>
                <w:rFonts w:hint="eastAsia" w:ascii="等线" w:hAnsi="等线" w:eastAsia="等线" w:cs="等线"/>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564C">
            <w:pPr>
              <w:jc w:val="center"/>
              <w:rPr>
                <w:rFonts w:hint="eastAsia" w:ascii="等线" w:hAnsi="等线" w:eastAsia="等线" w:cs="等线"/>
                <w:i w:val="0"/>
                <w:iCs w:val="0"/>
                <w:color w:val="000000"/>
                <w:sz w:val="18"/>
                <w:szCs w:val="18"/>
                <w:u w:val="none"/>
              </w:rPr>
            </w:pPr>
          </w:p>
        </w:tc>
      </w:tr>
      <w:tr w14:paraId="510E0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9"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7C0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同屏控制器</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2422">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支持窗口最大分辨率1920*1080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采用64位4核处理器，1G运行内存，工控系统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采用一路HDMI输出，自带8G内存，5V电源适配器供电。</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预装云平台信息发布系统（包含二年的网络信息平台使用费）</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7BD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台</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95C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519B">
            <w:pPr>
              <w:jc w:val="center"/>
              <w:rPr>
                <w:rFonts w:hint="eastAsia" w:ascii="等线" w:hAnsi="等线" w:eastAsia="等线" w:cs="等线"/>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DC79">
            <w:pPr>
              <w:jc w:val="center"/>
              <w:rPr>
                <w:rFonts w:hint="eastAsia" w:ascii="等线" w:hAnsi="等线" w:eastAsia="等线" w:cs="等线"/>
                <w:i w:val="0"/>
                <w:iCs w:val="0"/>
                <w:color w:val="000000"/>
                <w:sz w:val="18"/>
                <w:szCs w:val="18"/>
                <w:u w:val="none"/>
              </w:rPr>
            </w:pPr>
          </w:p>
        </w:tc>
      </w:tr>
      <w:tr w14:paraId="0F1D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96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框架</w:t>
            </w:r>
          </w:p>
        </w:tc>
        <w:tc>
          <w:tcPr>
            <w:tcW w:w="4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0D38">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屏幕安装结构制作、内部五金框架结构</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9E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121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6</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8FBB">
            <w:pPr>
              <w:jc w:val="center"/>
              <w:rPr>
                <w:rFonts w:hint="eastAsia" w:ascii="等线" w:hAnsi="等线" w:eastAsia="等线" w:cs="等线"/>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E0C2">
            <w:pPr>
              <w:jc w:val="center"/>
              <w:rPr>
                <w:rFonts w:hint="eastAsia" w:ascii="等线" w:hAnsi="等线" w:eastAsia="等线" w:cs="等线"/>
                <w:i w:val="0"/>
                <w:iCs w:val="0"/>
                <w:color w:val="000000"/>
                <w:sz w:val="18"/>
                <w:szCs w:val="18"/>
                <w:u w:val="none"/>
              </w:rPr>
            </w:pPr>
          </w:p>
        </w:tc>
      </w:tr>
      <w:tr w14:paraId="6868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jc w:val="center"/>
        </w:trPr>
        <w:tc>
          <w:tcPr>
            <w:tcW w:w="60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7D17D">
            <w:pPr>
              <w:jc w:val="center"/>
              <w:rPr>
                <w:rFonts w:hint="eastAsia" w:ascii="等线" w:hAnsi="等线" w:eastAsia="等线" w:cs="等线"/>
                <w:i w:val="0"/>
                <w:iCs w:val="0"/>
                <w:color w:val="000000"/>
                <w:sz w:val="22"/>
                <w:szCs w:val="22"/>
                <w:u w:val="none"/>
              </w:rPr>
            </w:pPr>
            <w:r>
              <w:rPr>
                <w:rFonts w:hint="eastAsia" w:ascii="仿宋" w:hAnsi="仿宋" w:eastAsia="仿宋" w:cs="仿宋"/>
                <w:b/>
                <w:bCs/>
                <w:kern w:val="0"/>
                <w:sz w:val="24"/>
                <w:lang w:val="en-US" w:eastAsia="zh-CN" w:bidi="ar"/>
              </w:rPr>
              <w:t>合计（元）</w:t>
            </w:r>
          </w:p>
        </w:tc>
        <w:tc>
          <w:tcPr>
            <w:tcW w:w="46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6F6A57">
            <w:pPr>
              <w:jc w:val="center"/>
              <w:rPr>
                <w:rFonts w:hint="eastAsia" w:ascii="仿宋" w:hAnsi="仿宋" w:eastAsia="仿宋" w:cs="仿宋"/>
                <w:b/>
                <w:bCs/>
                <w:kern w:val="0"/>
                <w:sz w:val="24"/>
                <w:lang w:val="en-US" w:eastAsia="zh-CN" w:bidi="ar"/>
              </w:rPr>
            </w:pPr>
          </w:p>
        </w:tc>
      </w:tr>
    </w:tbl>
    <w:p w14:paraId="71BE4DD0">
      <w:pPr>
        <w:snapToGrid w:val="0"/>
        <w:spacing w:line="460" w:lineRule="exact"/>
        <w:jc w:val="left"/>
        <w:rPr>
          <w:rFonts w:hAnsi="宋体"/>
          <w:b/>
          <w:bCs/>
          <w:kern w:val="2"/>
          <w:szCs w:val="21"/>
        </w:rPr>
      </w:pPr>
      <w:r>
        <w:rPr>
          <w:rFonts w:hint="eastAsia" w:hAnsi="宋体"/>
          <w:b/>
          <w:bCs/>
          <w:szCs w:val="21"/>
        </w:rPr>
        <w:t>注：</w:t>
      </w:r>
      <w:r>
        <w:rPr>
          <w:rFonts w:hint="eastAsia" w:hAnsi="宋体"/>
          <w:b/>
          <w:bCs/>
          <w:szCs w:val="21"/>
          <w:lang w:val="en-US" w:eastAsia="zh-CN"/>
        </w:rPr>
        <w:t>附件2</w:t>
      </w:r>
      <w:r>
        <w:rPr>
          <w:rFonts w:hint="eastAsia" w:hAnsi="宋体"/>
          <w:b/>
          <w:bCs/>
          <w:szCs w:val="21"/>
        </w:rPr>
        <w:t>的“</w:t>
      </w:r>
      <w:r>
        <w:rPr>
          <w:rFonts w:hint="eastAsia" w:hAnsi="宋体"/>
          <w:b/>
          <w:bCs/>
          <w:szCs w:val="21"/>
          <w:lang w:val="en-US" w:eastAsia="zh-CN"/>
        </w:rPr>
        <w:t>合计</w:t>
      </w:r>
      <w:r>
        <w:rPr>
          <w:rFonts w:hint="eastAsia" w:hAnsi="宋体"/>
          <w:b/>
          <w:bCs/>
          <w:szCs w:val="21"/>
        </w:rPr>
        <w:t>”要与</w:t>
      </w:r>
      <w:r>
        <w:rPr>
          <w:rFonts w:hint="eastAsia" w:hAnsi="宋体"/>
          <w:b/>
          <w:bCs/>
          <w:szCs w:val="21"/>
          <w:lang w:val="en-US" w:eastAsia="zh-CN"/>
        </w:rPr>
        <w:t>附件</w:t>
      </w:r>
      <w:r>
        <w:rPr>
          <w:rFonts w:hint="eastAsia" w:ascii="宋体" w:hAnsi="宋体" w:eastAsia="宋体" w:cs="宋体"/>
          <w:b/>
          <w:bCs/>
          <w:szCs w:val="21"/>
          <w:lang w:val="en-US" w:eastAsia="zh-CN"/>
        </w:rPr>
        <w:t>1</w:t>
      </w:r>
      <w:r>
        <w:rPr>
          <w:rFonts w:hint="eastAsia" w:hAnsi="宋体"/>
          <w:b/>
          <w:bCs/>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4"/>
        <w:spacing w:before="0" w:after="0" w:line="400" w:lineRule="exact"/>
        <w:rPr>
          <w:rFonts w:ascii="宋体" w:hAnsi="宋体" w:cs="宋体"/>
          <w:szCs w:val="28"/>
        </w:rPr>
      </w:pPr>
    </w:p>
    <w:p w14:paraId="196C36CF">
      <w:pPr>
        <w:pStyle w:val="4"/>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39629DB"/>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C774012"/>
    <w:rsid w:val="1D440623"/>
    <w:rsid w:val="1E311151"/>
    <w:rsid w:val="1F507DBE"/>
    <w:rsid w:val="1F756DE8"/>
    <w:rsid w:val="1FC91AFB"/>
    <w:rsid w:val="212177E3"/>
    <w:rsid w:val="229D1137"/>
    <w:rsid w:val="229E64A4"/>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1E2A0C"/>
    <w:rsid w:val="5F21609C"/>
    <w:rsid w:val="5FA34D03"/>
    <w:rsid w:val="60194955"/>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4C16620"/>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4">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2">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7617</Words>
  <Characters>9118</Characters>
  <Lines>0</Lines>
  <Paragraphs>0</Paragraphs>
  <TotalTime>16</TotalTime>
  <ScaleCrop>false</ScaleCrop>
  <LinksUpToDate>false</LinksUpToDate>
  <CharactersWithSpaces>9439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2024-11-25T06:17:56Z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