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E917DF">
      <w:pPr>
        <w:jc w:val="center"/>
        <w:rPr>
          <w:rFonts w:hint="eastAsia" w:asciiTheme="majorEastAsia" w:hAnsiTheme="majorEastAsia" w:eastAsiaTheme="majorEastAsia" w:cstheme="majorEastAsia"/>
          <w:b/>
          <w:bCs w:val="0"/>
          <w:color w:val="000000" w:themeColor="text1"/>
          <w:kern w:val="2"/>
          <w:sz w:val="36"/>
          <w:szCs w:val="36"/>
          <w:lang w:val="en-US" w:eastAsia="zh-CN" w:bidi="ar-SA"/>
          <w14:textFill>
            <w14:solidFill>
              <w14:schemeClr w14:val="tx1"/>
            </w14:solidFill>
          </w14:textFill>
        </w:rPr>
      </w:pPr>
      <w:r>
        <w:rPr>
          <w:rFonts w:hint="eastAsia" w:asciiTheme="majorEastAsia" w:hAnsiTheme="majorEastAsia" w:eastAsiaTheme="majorEastAsia" w:cstheme="majorEastAsia"/>
          <w:b/>
          <w:bCs w:val="0"/>
          <w:color w:val="000000" w:themeColor="text1"/>
          <w:kern w:val="2"/>
          <w:sz w:val="36"/>
          <w:szCs w:val="36"/>
          <w:lang w:val="en-US" w:eastAsia="zh-CN" w:bidi="ar-SA"/>
          <w14:textFill>
            <w14:solidFill>
              <w14:schemeClr w14:val="tx1"/>
            </w14:solidFill>
          </w14:textFill>
        </w:rPr>
        <w:t>广东生态工程职业学院2025年纸质期刊采购项目</w:t>
      </w:r>
    </w:p>
    <w:p w14:paraId="6326E2B0">
      <w:pPr>
        <w:jc w:val="center"/>
        <w:rPr>
          <w:rFonts w:hint="eastAsia"/>
          <w:lang w:val="en-US" w:eastAsia="zh-CN"/>
        </w:rPr>
      </w:pPr>
      <w:r>
        <w:rPr>
          <w:rFonts w:hint="eastAsia" w:asciiTheme="majorEastAsia" w:hAnsiTheme="majorEastAsia" w:eastAsiaTheme="majorEastAsia" w:cstheme="majorEastAsia"/>
          <w:b/>
          <w:sz w:val="36"/>
          <w:szCs w:val="36"/>
          <w:lang w:val="en-US" w:eastAsia="zh-CN"/>
        </w:rPr>
        <w:t>需求书</w:t>
      </w:r>
    </w:p>
    <w:p w14:paraId="19C52018">
      <w:pPr>
        <w:spacing w:line="360" w:lineRule="auto"/>
        <w:jc w:val="left"/>
        <w:rPr>
          <w:rFonts w:hint="eastAsia" w:ascii="宋体" w:hAnsi="宋体" w:eastAsia="宋体" w:cs="宋体"/>
          <w:b w:val="0"/>
          <w:bCs w:val="0"/>
          <w:sz w:val="28"/>
          <w:szCs w:val="28"/>
        </w:rPr>
      </w:pPr>
    </w:p>
    <w:p w14:paraId="10143039">
      <w:pPr>
        <w:pStyle w:val="13"/>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default" w:ascii="宋体" w:hAnsi="宋体" w:eastAsia="宋体" w:cs="宋体"/>
          <w:b w:val="0"/>
          <w:bCs/>
          <w:kern w:val="2"/>
          <w:sz w:val="28"/>
          <w:szCs w:val="28"/>
          <w:lang w:val="en-US" w:eastAsia="zh-CN" w:bidi="ar-SA"/>
        </w:rPr>
      </w:pPr>
      <w:r>
        <w:rPr>
          <w:rFonts w:hint="eastAsia" w:ascii="宋体" w:hAnsi="宋体" w:eastAsia="宋体" w:cs="宋体"/>
          <w:b/>
          <w:bCs w:val="0"/>
          <w:kern w:val="2"/>
          <w:sz w:val="28"/>
          <w:szCs w:val="28"/>
          <w:lang w:val="en-US" w:eastAsia="zh-CN" w:bidi="ar-SA"/>
        </w:rPr>
        <w:t>项目名称:</w:t>
      </w:r>
      <w:r>
        <w:rPr>
          <w:rFonts w:hint="eastAsia" w:ascii="宋体" w:hAnsi="宋体" w:eastAsia="宋体" w:cs="宋体"/>
          <w:b w:val="0"/>
          <w:bCs/>
          <w:kern w:val="2"/>
          <w:sz w:val="28"/>
          <w:szCs w:val="28"/>
          <w:lang w:val="en-US" w:eastAsia="zh-CN" w:bidi="ar-SA"/>
        </w:rPr>
        <w:t>广东生态工程职业学院2025年纸质期刊采购项目</w:t>
      </w:r>
    </w:p>
    <w:p w14:paraId="12497ADC">
      <w:pPr>
        <w:pStyle w:val="13"/>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eastAsia"/>
          <w:sz w:val="28"/>
          <w:szCs w:val="28"/>
        </w:rPr>
      </w:pPr>
      <w:r>
        <w:rPr>
          <w:rFonts w:hint="eastAsia" w:ascii="宋体" w:hAnsi="宋体" w:eastAsia="宋体" w:cs="宋体"/>
          <w:b/>
          <w:bCs w:val="0"/>
          <w:kern w:val="2"/>
          <w:sz w:val="28"/>
          <w:szCs w:val="28"/>
          <w:lang w:val="en-US" w:eastAsia="zh-CN" w:bidi="ar-SA"/>
        </w:rPr>
        <w:t>项目预算：</w:t>
      </w:r>
      <w:r>
        <w:rPr>
          <w:rFonts w:hint="eastAsia" w:ascii="宋体" w:hAnsi="宋体" w:eastAsia="宋体" w:cs="宋体"/>
          <w:b w:val="0"/>
          <w:bCs/>
          <w:kern w:val="2"/>
          <w:sz w:val="28"/>
          <w:szCs w:val="28"/>
          <w:lang w:val="en-US" w:eastAsia="zh-CN" w:bidi="ar-SA"/>
        </w:rPr>
        <w:t>90000.00元</w:t>
      </w:r>
    </w:p>
    <w:p w14:paraId="16CB4740">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default" w:ascii="宋体" w:hAnsi="宋体" w:cs="宋体" w:eastAsiaTheme="minorEastAsia"/>
          <w:b w:val="0"/>
          <w:bCs w:val="0"/>
          <w:sz w:val="28"/>
          <w:szCs w:val="28"/>
          <w:lang w:val="en-US" w:eastAsia="zh-CN"/>
        </w:rPr>
      </w:pPr>
      <w:r>
        <w:rPr>
          <w:rFonts w:hint="eastAsia" w:ascii="宋体" w:hAnsi="宋体" w:eastAsia="宋体" w:cs="宋体"/>
          <w:b/>
          <w:bCs/>
          <w:sz w:val="28"/>
          <w:szCs w:val="28"/>
          <w:lang w:val="en-US" w:eastAsia="zh-CN"/>
        </w:rPr>
        <w:t>送货</w:t>
      </w:r>
      <w:r>
        <w:rPr>
          <w:rFonts w:hint="eastAsia" w:ascii="宋体" w:hAnsi="宋体" w:eastAsia="宋体" w:cs="宋体"/>
          <w:b/>
          <w:bCs/>
          <w:sz w:val="28"/>
          <w:szCs w:val="28"/>
        </w:rPr>
        <w:t>地址:</w:t>
      </w:r>
      <w:r>
        <w:rPr>
          <w:rFonts w:hint="eastAsia" w:ascii="宋体" w:hAnsi="宋体" w:cs="宋体"/>
          <w:b w:val="0"/>
          <w:bCs w:val="0"/>
          <w:sz w:val="28"/>
          <w:szCs w:val="28"/>
          <w:lang w:val="en-US" w:eastAsia="zh-CN"/>
        </w:rPr>
        <w:t xml:space="preserve"> </w:t>
      </w:r>
      <w:r>
        <w:rPr>
          <w:rFonts w:hint="eastAsia" w:ascii="宋体" w:hAnsi="宋体" w:eastAsia="宋体" w:cs="宋体"/>
          <w:b w:val="0"/>
          <w:bCs w:val="0"/>
          <w:sz w:val="28"/>
          <w:szCs w:val="28"/>
          <w:lang w:val="en-US" w:eastAsia="zh-CN"/>
        </w:rPr>
        <w:t>广州市天河区广汕一路297号、广州市海珠区赤沙路15号</w:t>
      </w:r>
    </w:p>
    <w:p w14:paraId="6594E243">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val="0"/>
          <w:bCs w:val="0"/>
          <w:sz w:val="28"/>
          <w:szCs w:val="28"/>
          <w:lang w:val="en-US" w:eastAsia="zh-CN"/>
        </w:rPr>
      </w:pPr>
      <w:r>
        <w:rPr>
          <w:rFonts w:hint="eastAsia" w:ascii="宋体" w:hAnsi="宋体" w:cs="宋体"/>
          <w:b/>
          <w:bCs/>
          <w:sz w:val="28"/>
          <w:szCs w:val="28"/>
          <w:lang w:val="en-US" w:eastAsia="zh-CN"/>
        </w:rPr>
        <w:t>项目报价：</w:t>
      </w:r>
      <w:r>
        <w:rPr>
          <w:rFonts w:hint="eastAsia" w:ascii="宋体" w:hAnsi="宋体" w:cs="宋体"/>
          <w:b w:val="0"/>
          <w:bCs w:val="0"/>
          <w:sz w:val="28"/>
          <w:szCs w:val="28"/>
          <w:lang w:val="en-US" w:eastAsia="zh-CN"/>
        </w:rPr>
        <w:t>超过预算金额则视为无效报价</w:t>
      </w:r>
    </w:p>
    <w:p w14:paraId="17F7BA37">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供应商须知：</w:t>
      </w:r>
    </w:p>
    <w:p w14:paraId="5F6BCEC2">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zh-CN" w:eastAsia="zh-CN"/>
        </w:rPr>
        <w:t>供应商应具备《政府采购法》第二十二条规定的条件。</w:t>
      </w:r>
    </w:p>
    <w:p w14:paraId="13744232">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投标人是具有独立承担民事责任能力的法人或其他组织；（提供营业执照、税务登记证及组织机构代码证、或三证合一复印件）；</w:t>
      </w:r>
    </w:p>
    <w:p w14:paraId="6B582251">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具有履行合同所必需的设备和专业技术能力；</w:t>
      </w:r>
    </w:p>
    <w:p w14:paraId="305F488C">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投标人具有依法纳税和社会保障资金的良好记录；</w:t>
      </w:r>
    </w:p>
    <w:p w14:paraId="6271B173">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具有良好的商业信誉和健全的财务会计制度；</w:t>
      </w:r>
    </w:p>
    <w:p w14:paraId="333F9F3A">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参加</w:t>
      </w:r>
      <w:r>
        <w:rPr>
          <w:rFonts w:hint="eastAsia" w:ascii="宋体" w:hAnsi="宋体" w:cs="宋体"/>
          <w:b w:val="0"/>
          <w:bCs w:val="0"/>
          <w:color w:val="auto"/>
          <w:sz w:val="28"/>
          <w:szCs w:val="28"/>
          <w:u w:val="none"/>
          <w:lang w:val="en-US" w:eastAsia="zh-CN"/>
        </w:rPr>
        <w:t>政府采购</w:t>
      </w:r>
      <w:r>
        <w:rPr>
          <w:rFonts w:hint="eastAsia" w:ascii="宋体" w:hAnsi="宋体" w:cs="宋体"/>
          <w:b w:val="0"/>
          <w:bCs w:val="0"/>
          <w:sz w:val="28"/>
          <w:szCs w:val="28"/>
          <w:lang w:val="en-US" w:eastAsia="zh-CN"/>
        </w:rPr>
        <w:t>活动前三年内，在经营活动中无重大违法记录。</w:t>
      </w:r>
    </w:p>
    <w:p w14:paraId="2F569BF7">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报价供应商认真查看项目需求书（附件），根据项目需求书上的要求填写信息和提交资料，报价表不允许改动并完整打印，否则视为无效报价（备注：所提供的资料均需加盖公章）。</w:t>
      </w:r>
    </w:p>
    <w:p w14:paraId="1EA08F59">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落实《政府采购促进中小企业发展管理办法》有关规定，中小企业须提供中小企业声明函。</w:t>
      </w:r>
    </w:p>
    <w:p w14:paraId="5060EAA0">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投标人必须具有国家有关部门核发的有效的《出版物经营许可证》（投标时须提供有效的证书复印件，并加盖公章）。</w:t>
      </w:r>
    </w:p>
    <w:p w14:paraId="41DA7228">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本项目不接受联合体竞价。</w:t>
      </w:r>
    </w:p>
    <w:p w14:paraId="385C0545">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报价供应商</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截止递交报价文件的</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时间为202</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4</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年</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11</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月</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28</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日下午3点</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报价文件必须密封，否则一律拒收</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报价供应商可快递寄送（必须用顺丰</w:t>
      </w:r>
      <w:r>
        <w:rPr>
          <w:rFonts w:hint="eastAsia" w:ascii="宋体" w:hAnsi="宋体" w:cs="宋体"/>
          <w:b w:val="0"/>
          <w:bCs w:val="0"/>
          <w:sz w:val="28"/>
          <w:szCs w:val="28"/>
          <w:lang w:val="en-US" w:eastAsia="zh-CN"/>
        </w:rPr>
        <w:t>快递</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）或现场递交。</w:t>
      </w:r>
    </w:p>
    <w:p w14:paraId="2409E1C5">
      <w:pPr>
        <w:numPr>
          <w:ilvl w:val="0"/>
          <w:numId w:val="2"/>
        </w:numPr>
        <w:spacing w:line="360" w:lineRule="auto"/>
        <w:ind w:left="0" w:leftChars="0" w:firstLine="420" w:firstLineChars="0"/>
        <w:rPr>
          <w:rFonts w:hint="default"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投标联系人：刘老师  联系方式：19867570340</w:t>
      </w:r>
    </w:p>
    <w:p w14:paraId="0ACAAC81">
      <w:pPr>
        <w:spacing w:line="360" w:lineRule="auto"/>
        <w:ind w:firstLine="560" w:firstLineChars="200"/>
        <w:rPr>
          <w:rFonts w:hint="default"/>
          <w:sz w:val="28"/>
          <w:szCs w:val="28"/>
          <w:lang w:val="en-US" w:eastAsia="zh-CN"/>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投标地址：广州市天河区广汕一路297号广东生态工程职业学院办公楼203室，可快递寄送（必须用顺丰快递）或现场递交。</w:t>
      </w:r>
    </w:p>
    <w:p w14:paraId="1FEF04A4">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项目内容及要求:</w:t>
      </w:r>
    </w:p>
    <w:tbl>
      <w:tblPr>
        <w:tblStyle w:val="11"/>
        <w:tblW w:w="9504" w:type="dxa"/>
        <w:jc w:val="center"/>
        <w:tblLayout w:type="fixed"/>
        <w:tblCellMar>
          <w:top w:w="0" w:type="dxa"/>
          <w:left w:w="0" w:type="dxa"/>
          <w:bottom w:w="0" w:type="dxa"/>
          <w:right w:w="0" w:type="dxa"/>
        </w:tblCellMar>
      </w:tblPr>
      <w:tblGrid>
        <w:gridCol w:w="1451"/>
        <w:gridCol w:w="8053"/>
      </w:tblGrid>
      <w:tr w14:paraId="2D21FA55">
        <w:tblPrEx>
          <w:tblCellMar>
            <w:top w:w="0" w:type="dxa"/>
            <w:left w:w="0" w:type="dxa"/>
            <w:bottom w:w="0" w:type="dxa"/>
            <w:right w:w="0" w:type="dxa"/>
          </w:tblCellMar>
        </w:tblPrEx>
        <w:trPr>
          <w:trHeight w:val="621" w:hRule="atLeast"/>
          <w:jc w:val="center"/>
        </w:trPr>
        <w:tc>
          <w:tcPr>
            <w:tcW w:w="1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C6D18F">
            <w:pPr>
              <w:widowControl/>
              <w:jc w:val="center"/>
              <w:textAlignment w:val="center"/>
              <w:rPr>
                <w:rFonts w:hint="default" w:ascii="仿宋" w:hAnsi="仿宋" w:eastAsia="仿宋" w:cs="仿宋"/>
                <w:b/>
                <w:bCs/>
                <w:color w:val="000000"/>
                <w:sz w:val="24"/>
                <w:lang w:val="en-US"/>
              </w:rPr>
            </w:pPr>
            <w:r>
              <w:rPr>
                <w:rFonts w:hint="eastAsia" w:ascii="仿宋" w:hAnsi="仿宋" w:eastAsia="仿宋" w:cs="仿宋"/>
                <w:b/>
                <w:bCs/>
                <w:color w:val="000000"/>
                <w:kern w:val="0"/>
                <w:sz w:val="24"/>
                <w:szCs w:val="24"/>
                <w:lang w:val="en-US" w:eastAsia="zh-CN" w:bidi="ar"/>
              </w:rPr>
              <w:t>采购内容</w:t>
            </w:r>
          </w:p>
        </w:tc>
        <w:tc>
          <w:tcPr>
            <w:tcW w:w="805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A29A31">
            <w:pPr>
              <w:widowControl/>
              <w:jc w:val="center"/>
              <w:textAlignment w:val="center"/>
              <w:rPr>
                <w:rFonts w:hint="eastAsia" w:ascii="仿宋" w:hAnsi="仿宋" w:eastAsia="仿宋" w:cs="仿宋"/>
                <w:b/>
                <w:bCs/>
                <w:color w:val="000000"/>
                <w:sz w:val="24"/>
                <w:lang w:eastAsia="zh-CN"/>
              </w:rPr>
            </w:pPr>
            <w:r>
              <w:rPr>
                <w:rFonts w:hint="eastAsia" w:ascii="仿宋" w:hAnsi="仿宋" w:eastAsia="仿宋" w:cs="仿宋"/>
                <w:b/>
                <w:bCs/>
                <w:color w:val="000000"/>
                <w:kern w:val="0"/>
                <w:sz w:val="24"/>
                <w:szCs w:val="24"/>
                <w:lang w:bidi="ar"/>
              </w:rPr>
              <w:t>具体</w:t>
            </w:r>
            <w:r>
              <w:rPr>
                <w:rFonts w:hint="eastAsia" w:ascii="仿宋" w:hAnsi="仿宋" w:eastAsia="仿宋" w:cs="仿宋"/>
                <w:b/>
                <w:bCs/>
                <w:color w:val="000000"/>
                <w:kern w:val="0"/>
                <w:sz w:val="24"/>
                <w:szCs w:val="24"/>
                <w:lang w:val="en-US" w:eastAsia="zh-CN" w:bidi="ar"/>
              </w:rPr>
              <w:t>要求</w:t>
            </w:r>
          </w:p>
        </w:tc>
      </w:tr>
      <w:tr w14:paraId="3BAEB0E3">
        <w:tblPrEx>
          <w:tblCellMar>
            <w:top w:w="0" w:type="dxa"/>
            <w:left w:w="0" w:type="dxa"/>
            <w:bottom w:w="0" w:type="dxa"/>
            <w:right w:w="0" w:type="dxa"/>
          </w:tblCellMar>
        </w:tblPrEx>
        <w:trPr>
          <w:trHeight w:val="2437" w:hRule="atLeast"/>
          <w:jc w:val="center"/>
        </w:trPr>
        <w:tc>
          <w:tcPr>
            <w:tcW w:w="1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81FA82">
            <w:pPr>
              <w:widowControl/>
              <w:jc w:val="center"/>
              <w:textAlignment w:val="center"/>
              <w:rPr>
                <w:rFonts w:hint="default" w:ascii="仿宋" w:hAnsi="仿宋" w:eastAsia="仿宋" w:cs="仿宋"/>
                <w:kern w:val="0"/>
                <w:sz w:val="24"/>
                <w:lang w:val="en-US" w:eastAsia="zh-CN" w:bidi="ar"/>
              </w:rPr>
            </w:pPr>
            <w:r>
              <w:rPr>
                <w:rFonts w:hint="eastAsia" w:ascii="仿宋" w:hAnsi="仿宋" w:eastAsia="仿宋" w:cs="仿宋"/>
                <w:kern w:val="0"/>
                <w:sz w:val="24"/>
                <w:lang w:val="en-US" w:eastAsia="zh-CN" w:bidi="ar"/>
              </w:rPr>
              <w:t>2025年纸质期刊</w:t>
            </w:r>
          </w:p>
        </w:tc>
        <w:tc>
          <w:tcPr>
            <w:tcW w:w="805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0CFC95">
            <w:pPr>
              <w:keepNext w:val="0"/>
              <w:keepLines w:val="0"/>
              <w:pageBreakBefore w:val="0"/>
              <w:widowControl w:val="0"/>
              <w:numPr>
                <w:ilvl w:val="0"/>
                <w:numId w:val="4"/>
              </w:numPr>
              <w:kinsoku/>
              <w:wordWrap/>
              <w:overflowPunct/>
              <w:topLinePunct w:val="0"/>
              <w:autoSpaceDE/>
              <w:autoSpaceDN/>
              <w:bidi w:val="0"/>
              <w:adjustRightInd w:val="0"/>
              <w:snapToGrid w:val="0"/>
              <w:spacing w:line="312" w:lineRule="auto"/>
              <w:textAlignment w:val="auto"/>
              <w:rPr>
                <w:rFonts w:hint="eastAsia" w:ascii="仿宋" w:hAnsi="仿宋" w:eastAsia="仿宋" w:cs="仿宋"/>
                <w:b w:val="0"/>
                <w:bCs w:val="0"/>
                <w:sz w:val="24"/>
                <w:szCs w:val="24"/>
                <w:lang w:val="en-US" w:eastAsia="zh-CN"/>
              </w:rPr>
            </w:pPr>
            <w:r>
              <w:rPr>
                <w:rFonts w:hint="eastAsia" w:ascii="仿宋" w:hAnsi="仿宋" w:eastAsia="仿宋" w:cs="仿宋"/>
                <w:b/>
                <w:bCs/>
                <w:sz w:val="24"/>
                <w:szCs w:val="24"/>
                <w:lang w:val="en-US" w:eastAsia="zh-CN"/>
              </w:rPr>
              <w:t>供货要求：</w:t>
            </w:r>
            <w:r>
              <w:rPr>
                <w:rFonts w:hint="eastAsia" w:ascii="仿宋" w:hAnsi="仿宋" w:eastAsia="仿宋" w:cs="仿宋"/>
                <w:b w:val="0"/>
                <w:bCs w:val="0"/>
                <w:sz w:val="24"/>
                <w:szCs w:val="24"/>
                <w:lang w:val="en-US" w:eastAsia="zh-CN"/>
              </w:rPr>
              <w:t>供货商必须按采购合同清单的期刊品种和数量及时供货，除非采购人作出调整或增减，不得自行搭配和追加未经采购人确认的期刊品种和复本数量（期刊本身附赠的赠刊除外），非采购人订购的期刊一律退回。供货商必须保证提供正版期刊，对非正版期刊采购人有权拒绝验收，供应商必须接受无条件退货且以十倍金额支付违约金，从期刊结算款中扣除，同时，可终止供应商的供货资格，供应商承担由此而引起的一切法律责任。</w:t>
            </w:r>
          </w:p>
          <w:p w14:paraId="3ABC3467">
            <w:pPr>
              <w:keepNext w:val="0"/>
              <w:keepLines w:val="0"/>
              <w:pageBreakBefore w:val="0"/>
              <w:widowControl w:val="0"/>
              <w:numPr>
                <w:ilvl w:val="0"/>
                <w:numId w:val="4"/>
              </w:numPr>
              <w:kinsoku/>
              <w:wordWrap/>
              <w:overflowPunct/>
              <w:topLinePunct w:val="0"/>
              <w:autoSpaceDE/>
              <w:autoSpaceDN/>
              <w:bidi w:val="0"/>
              <w:adjustRightInd w:val="0"/>
              <w:snapToGrid w:val="0"/>
              <w:spacing w:line="312" w:lineRule="auto"/>
              <w:textAlignment w:val="auto"/>
              <w:rPr>
                <w:rFonts w:hint="default" w:ascii="仿宋" w:hAnsi="仿宋" w:eastAsia="仿宋" w:cs="仿宋"/>
                <w:sz w:val="24"/>
                <w:szCs w:val="24"/>
                <w:lang w:val="en-US" w:eastAsia="zh-CN"/>
              </w:rPr>
            </w:pPr>
            <w:r>
              <w:rPr>
                <w:rFonts w:hint="eastAsia" w:ascii="仿宋" w:hAnsi="仿宋" w:eastAsia="仿宋" w:cs="仿宋"/>
                <w:b/>
                <w:bCs/>
                <w:sz w:val="24"/>
                <w:szCs w:val="24"/>
                <w:lang w:val="en-US" w:eastAsia="zh-CN"/>
              </w:rPr>
              <w:t>经验要求：</w:t>
            </w:r>
            <w:r>
              <w:rPr>
                <w:rFonts w:hint="eastAsia" w:ascii="仿宋" w:hAnsi="仿宋" w:eastAsia="仿宋" w:cs="仿宋"/>
                <w:b w:val="0"/>
                <w:bCs w:val="0"/>
                <w:sz w:val="24"/>
                <w:szCs w:val="24"/>
                <w:lang w:val="en-US" w:eastAsia="zh-CN"/>
              </w:rPr>
              <w:t>供货商货源组织能力强，具有稳定的图书馆客户及完善的图书馆期刊配供技术和服务条件。投标人须具有良好的企业信誉及售后服务能力，具备较强的书刊分编技术力量，具有三级及以上编目员资格，以确保必要时按照采购人的要求提供标准CNMARC编目数据。</w:t>
            </w:r>
          </w:p>
          <w:p w14:paraId="73A4B452">
            <w:pPr>
              <w:keepNext w:val="0"/>
              <w:keepLines w:val="0"/>
              <w:pageBreakBefore w:val="0"/>
              <w:widowControl w:val="0"/>
              <w:numPr>
                <w:ilvl w:val="0"/>
                <w:numId w:val="4"/>
              </w:numPr>
              <w:kinsoku/>
              <w:wordWrap/>
              <w:overflowPunct/>
              <w:topLinePunct w:val="0"/>
              <w:autoSpaceDE/>
              <w:autoSpaceDN/>
              <w:bidi w:val="0"/>
              <w:adjustRightInd w:val="0"/>
              <w:snapToGrid w:val="0"/>
              <w:spacing w:line="312" w:lineRule="auto"/>
              <w:textAlignment w:val="auto"/>
              <w:rPr>
                <w:rFonts w:hint="default" w:ascii="仿宋" w:hAnsi="仿宋" w:eastAsia="仿宋" w:cs="仿宋"/>
                <w:sz w:val="24"/>
                <w:szCs w:val="24"/>
                <w:lang w:val="en-US" w:eastAsia="zh-CN"/>
              </w:rPr>
            </w:pPr>
            <w:r>
              <w:rPr>
                <w:rFonts w:hint="default" w:ascii="仿宋" w:hAnsi="仿宋" w:eastAsia="仿宋" w:cs="仿宋"/>
                <w:b/>
                <w:bCs/>
                <w:sz w:val="24"/>
                <w:szCs w:val="24"/>
                <w:lang w:val="en-US" w:eastAsia="zh-CN"/>
              </w:rPr>
              <w:t>报价要求：</w:t>
            </w:r>
            <w:r>
              <w:rPr>
                <w:rFonts w:hint="default" w:ascii="仿宋" w:hAnsi="仿宋" w:eastAsia="仿宋" w:cs="仿宋"/>
                <w:sz w:val="24"/>
                <w:szCs w:val="24"/>
                <w:lang w:val="en-US" w:eastAsia="zh-CN"/>
              </w:rPr>
              <w:t>本次期刊采用</w:t>
            </w:r>
            <w:r>
              <w:rPr>
                <w:rFonts w:hint="eastAsia" w:ascii="仿宋" w:hAnsi="仿宋" w:eastAsia="仿宋" w:cs="仿宋"/>
                <w:b/>
                <w:bCs/>
                <w:sz w:val="24"/>
                <w:szCs w:val="24"/>
                <w:lang w:val="en-US" w:eastAsia="zh-CN"/>
              </w:rPr>
              <w:t>下浮</w:t>
            </w:r>
            <w:r>
              <w:rPr>
                <w:rFonts w:hint="default" w:ascii="仿宋" w:hAnsi="仿宋" w:eastAsia="仿宋" w:cs="仿宋"/>
                <w:b/>
                <w:bCs/>
                <w:sz w:val="24"/>
                <w:szCs w:val="24"/>
                <w:lang w:val="en-US" w:eastAsia="zh-CN"/>
              </w:rPr>
              <w:t>率报价，精确到小数点后一位数。</w:t>
            </w:r>
          </w:p>
          <w:p w14:paraId="52FF7CC5">
            <w:pPr>
              <w:keepNext w:val="0"/>
              <w:keepLines w:val="0"/>
              <w:pageBreakBefore w:val="0"/>
              <w:widowControl w:val="0"/>
              <w:numPr>
                <w:ilvl w:val="0"/>
                <w:numId w:val="4"/>
              </w:numPr>
              <w:kinsoku/>
              <w:wordWrap/>
              <w:overflowPunct/>
              <w:topLinePunct w:val="0"/>
              <w:autoSpaceDE/>
              <w:autoSpaceDN/>
              <w:bidi w:val="0"/>
              <w:adjustRightInd w:val="0"/>
              <w:snapToGrid w:val="0"/>
              <w:spacing w:line="312" w:lineRule="auto"/>
              <w:textAlignment w:val="auto"/>
              <w:rPr>
                <w:rFonts w:hint="default" w:ascii="仿宋" w:hAnsi="仿宋" w:eastAsia="仿宋" w:cs="仿宋"/>
                <w:sz w:val="24"/>
                <w:szCs w:val="24"/>
                <w:lang w:val="en-US" w:eastAsia="zh-CN"/>
              </w:rPr>
            </w:pPr>
            <w:r>
              <w:rPr>
                <w:rFonts w:hint="default" w:ascii="仿宋" w:hAnsi="仿宋" w:eastAsia="仿宋" w:cs="仿宋"/>
                <w:b/>
                <w:bCs/>
                <w:sz w:val="24"/>
                <w:szCs w:val="24"/>
                <w:lang w:val="en-US" w:eastAsia="zh-CN"/>
              </w:rPr>
              <w:t>送刊时间：</w:t>
            </w:r>
            <w:r>
              <w:rPr>
                <w:rFonts w:hint="eastAsia" w:ascii="仿宋" w:hAnsi="仿宋" w:eastAsia="仿宋" w:cs="仿宋"/>
                <w:sz w:val="24"/>
                <w:szCs w:val="24"/>
                <w:lang w:val="en-US" w:eastAsia="zh-CN"/>
              </w:rPr>
              <w:t>2025年期刊（</w:t>
            </w:r>
            <w:r>
              <w:rPr>
                <w:rFonts w:hint="default" w:ascii="仿宋" w:hAnsi="仿宋" w:eastAsia="仿宋" w:cs="仿宋"/>
                <w:sz w:val="24"/>
                <w:szCs w:val="24"/>
                <w:lang w:val="en-US" w:eastAsia="zh-CN"/>
              </w:rPr>
              <w:t>2025年1月—2026年3月</w:t>
            </w:r>
            <w:r>
              <w:rPr>
                <w:rFonts w:hint="eastAsia" w:ascii="仿宋" w:hAnsi="仿宋" w:eastAsia="仿宋" w:cs="仿宋"/>
                <w:sz w:val="24"/>
                <w:szCs w:val="24"/>
                <w:lang w:val="en-US" w:eastAsia="zh-CN"/>
              </w:rPr>
              <w:t>，</w:t>
            </w:r>
            <w:r>
              <w:rPr>
                <w:rFonts w:hint="default" w:ascii="仿宋" w:hAnsi="仿宋" w:eastAsia="仿宋" w:cs="仿宋"/>
                <w:sz w:val="24"/>
                <w:szCs w:val="24"/>
                <w:lang w:val="en-US" w:eastAsia="zh-CN"/>
              </w:rPr>
              <w:t>具体时间应为当年报刊投递开始至送完为止的最后期限）</w:t>
            </w:r>
          </w:p>
          <w:p w14:paraId="12143F94">
            <w:pPr>
              <w:keepNext w:val="0"/>
              <w:keepLines w:val="0"/>
              <w:pageBreakBefore w:val="0"/>
              <w:widowControl w:val="0"/>
              <w:numPr>
                <w:ilvl w:val="0"/>
                <w:numId w:val="4"/>
              </w:numPr>
              <w:kinsoku/>
              <w:wordWrap/>
              <w:overflowPunct/>
              <w:topLinePunct w:val="0"/>
              <w:autoSpaceDE/>
              <w:autoSpaceDN/>
              <w:bidi w:val="0"/>
              <w:adjustRightInd w:val="0"/>
              <w:snapToGrid w:val="0"/>
              <w:spacing w:line="312" w:lineRule="auto"/>
              <w:textAlignment w:val="auto"/>
              <w:rPr>
                <w:rFonts w:hint="default" w:ascii="仿宋" w:hAnsi="仿宋" w:eastAsia="仿宋" w:cs="仿宋"/>
                <w:sz w:val="24"/>
                <w:szCs w:val="24"/>
                <w:lang w:val="en-US" w:eastAsia="zh-CN"/>
              </w:rPr>
            </w:pPr>
            <w:r>
              <w:rPr>
                <w:rFonts w:hint="default" w:ascii="仿宋" w:hAnsi="仿宋" w:eastAsia="仿宋" w:cs="仿宋"/>
                <w:b/>
                <w:bCs/>
                <w:sz w:val="24"/>
                <w:szCs w:val="24"/>
                <w:lang w:val="en-US" w:eastAsia="zh-CN"/>
              </w:rPr>
              <w:t>质保期（服务期）：</w:t>
            </w:r>
            <w:r>
              <w:rPr>
                <w:rFonts w:hint="default" w:ascii="仿宋" w:hAnsi="仿宋" w:eastAsia="仿宋" w:cs="仿宋"/>
                <w:sz w:val="24"/>
                <w:szCs w:val="24"/>
                <w:lang w:val="en-US" w:eastAsia="zh-CN"/>
              </w:rPr>
              <w:t xml:space="preserve"> 2025年1月—2026年3月</w:t>
            </w:r>
          </w:p>
          <w:p w14:paraId="738F5C51">
            <w:pPr>
              <w:keepNext w:val="0"/>
              <w:keepLines w:val="0"/>
              <w:pageBreakBefore w:val="0"/>
              <w:widowControl w:val="0"/>
              <w:numPr>
                <w:ilvl w:val="0"/>
                <w:numId w:val="4"/>
              </w:numPr>
              <w:kinsoku/>
              <w:wordWrap/>
              <w:overflowPunct/>
              <w:topLinePunct w:val="0"/>
              <w:autoSpaceDE/>
              <w:autoSpaceDN/>
              <w:bidi w:val="0"/>
              <w:adjustRightInd w:val="0"/>
              <w:snapToGrid w:val="0"/>
              <w:spacing w:line="312" w:lineRule="auto"/>
              <w:textAlignment w:val="auto"/>
              <w:rPr>
                <w:rFonts w:hint="default" w:ascii="仿宋" w:hAnsi="仿宋" w:eastAsia="仿宋" w:cs="仿宋"/>
                <w:sz w:val="24"/>
                <w:szCs w:val="24"/>
                <w:lang w:val="en-US" w:eastAsia="zh-CN"/>
              </w:rPr>
            </w:pPr>
            <w:r>
              <w:rPr>
                <w:rFonts w:hint="default" w:ascii="仿宋" w:hAnsi="仿宋" w:eastAsia="仿宋" w:cs="仿宋"/>
                <w:b/>
                <w:bCs/>
                <w:sz w:val="24"/>
                <w:szCs w:val="24"/>
                <w:lang w:val="en-US" w:eastAsia="zh-CN"/>
              </w:rPr>
              <w:t>订购期刊的种类和数量：</w:t>
            </w:r>
            <w:r>
              <w:rPr>
                <w:rFonts w:hint="eastAsia" w:ascii="仿宋" w:hAnsi="仿宋" w:eastAsia="仿宋" w:cs="仿宋"/>
                <w:b w:val="0"/>
                <w:bCs w:val="0"/>
                <w:sz w:val="24"/>
                <w:szCs w:val="24"/>
                <w:lang w:val="en-US" w:eastAsia="zh-CN"/>
              </w:rPr>
              <w:t>详见《</w:t>
            </w:r>
            <w:r>
              <w:rPr>
                <w:rFonts w:hint="default" w:ascii="仿宋" w:hAnsi="仿宋" w:eastAsia="仿宋" w:cs="仿宋"/>
                <w:b w:val="0"/>
                <w:bCs w:val="0"/>
                <w:sz w:val="24"/>
                <w:szCs w:val="24"/>
                <w:lang w:val="en-US" w:eastAsia="zh-CN"/>
              </w:rPr>
              <w:t>附件</w:t>
            </w:r>
            <w:r>
              <w:rPr>
                <w:rFonts w:hint="default" w:ascii="仿宋" w:hAnsi="仿宋" w:eastAsia="仿宋" w:cs="仿宋"/>
                <w:sz w:val="24"/>
                <w:szCs w:val="24"/>
                <w:lang w:val="en-US" w:eastAsia="zh-CN"/>
              </w:rPr>
              <w:t>：2025年广东生态工程职业学院期刊征订目录</w:t>
            </w:r>
            <w:r>
              <w:rPr>
                <w:rFonts w:hint="eastAsia" w:ascii="仿宋" w:hAnsi="仿宋" w:eastAsia="仿宋" w:cs="仿宋"/>
                <w:sz w:val="24"/>
                <w:szCs w:val="24"/>
                <w:lang w:val="en-US" w:eastAsia="zh-CN"/>
              </w:rPr>
              <w:t>》</w:t>
            </w:r>
            <w:bookmarkStart w:id="0" w:name="_GoBack"/>
            <w:bookmarkEnd w:id="0"/>
          </w:p>
          <w:p w14:paraId="78088552">
            <w:pPr>
              <w:keepNext w:val="0"/>
              <w:keepLines w:val="0"/>
              <w:pageBreakBefore w:val="0"/>
              <w:widowControl w:val="0"/>
              <w:numPr>
                <w:ilvl w:val="0"/>
                <w:numId w:val="4"/>
              </w:numPr>
              <w:kinsoku/>
              <w:wordWrap/>
              <w:overflowPunct/>
              <w:topLinePunct w:val="0"/>
              <w:autoSpaceDE/>
              <w:autoSpaceDN/>
              <w:bidi w:val="0"/>
              <w:adjustRightInd w:val="0"/>
              <w:snapToGrid w:val="0"/>
              <w:spacing w:line="312" w:lineRule="auto"/>
              <w:textAlignment w:val="auto"/>
              <w:rPr>
                <w:rFonts w:hint="default" w:ascii="仿宋" w:hAnsi="仿宋" w:eastAsia="仿宋" w:cs="仿宋"/>
                <w:sz w:val="24"/>
                <w:szCs w:val="24"/>
                <w:lang w:val="en-US" w:eastAsia="zh-CN"/>
              </w:rPr>
            </w:pPr>
            <w:r>
              <w:rPr>
                <w:rFonts w:hint="default" w:ascii="仿宋" w:hAnsi="仿宋" w:eastAsia="仿宋" w:cs="仿宋"/>
                <w:b/>
                <w:bCs/>
                <w:sz w:val="24"/>
                <w:szCs w:val="24"/>
                <w:lang w:val="en-US" w:eastAsia="zh-CN"/>
              </w:rPr>
              <w:t>送刊地点与方式：</w:t>
            </w:r>
            <w:r>
              <w:rPr>
                <w:rFonts w:hint="default" w:ascii="仿宋" w:hAnsi="仿宋" w:eastAsia="仿宋" w:cs="仿宋"/>
                <w:sz w:val="24"/>
                <w:szCs w:val="24"/>
                <w:lang w:val="en-US" w:eastAsia="zh-CN"/>
              </w:rPr>
              <w:t>（校本部）广州市天河区广汕一路297号广东生态工程职业学院图书馆；（海珠校区）广州市海珠区赤沙路广东生态工程职业学院图书馆。供货方应保证按我校订购的期刊，每月及时送至图书馆指定地点、指定楼层，由此产生的一切费用由供货商承担。</w:t>
            </w:r>
          </w:p>
          <w:p w14:paraId="71C44D58">
            <w:pPr>
              <w:keepNext w:val="0"/>
              <w:keepLines w:val="0"/>
              <w:pageBreakBefore w:val="0"/>
              <w:widowControl w:val="0"/>
              <w:numPr>
                <w:ilvl w:val="0"/>
                <w:numId w:val="4"/>
              </w:numPr>
              <w:kinsoku/>
              <w:wordWrap/>
              <w:overflowPunct/>
              <w:topLinePunct w:val="0"/>
              <w:autoSpaceDE/>
              <w:autoSpaceDN/>
              <w:bidi w:val="0"/>
              <w:adjustRightInd w:val="0"/>
              <w:snapToGrid w:val="0"/>
              <w:spacing w:line="312" w:lineRule="auto"/>
              <w:textAlignment w:val="auto"/>
              <w:rPr>
                <w:rFonts w:hint="default" w:ascii="仿宋" w:hAnsi="仿宋" w:eastAsia="仿宋" w:cs="仿宋"/>
                <w:sz w:val="24"/>
                <w:szCs w:val="24"/>
                <w:lang w:val="en-US" w:eastAsia="zh-CN"/>
              </w:rPr>
            </w:pPr>
            <w:r>
              <w:rPr>
                <w:rFonts w:hint="default" w:ascii="仿宋" w:hAnsi="仿宋" w:eastAsia="仿宋" w:cs="仿宋"/>
                <w:b/>
                <w:bCs/>
                <w:sz w:val="24"/>
                <w:szCs w:val="24"/>
                <w:lang w:val="en-US" w:eastAsia="zh-CN"/>
              </w:rPr>
              <w:t>订到率：</w:t>
            </w:r>
            <w:r>
              <w:rPr>
                <w:rFonts w:hint="default" w:ascii="仿宋" w:hAnsi="仿宋" w:eastAsia="仿宋" w:cs="仿宋"/>
                <w:sz w:val="24"/>
                <w:szCs w:val="24"/>
                <w:lang w:val="en-US" w:eastAsia="zh-CN"/>
              </w:rPr>
              <w:t>期刊在版订到率要求99%。</w:t>
            </w:r>
          </w:p>
          <w:p w14:paraId="08FE9F84">
            <w:pPr>
              <w:keepNext w:val="0"/>
              <w:keepLines w:val="0"/>
              <w:pageBreakBefore w:val="0"/>
              <w:widowControl w:val="0"/>
              <w:numPr>
                <w:ilvl w:val="0"/>
                <w:numId w:val="4"/>
              </w:numPr>
              <w:kinsoku/>
              <w:wordWrap/>
              <w:overflowPunct/>
              <w:topLinePunct w:val="0"/>
              <w:autoSpaceDE/>
              <w:autoSpaceDN/>
              <w:bidi w:val="0"/>
              <w:adjustRightInd w:val="0"/>
              <w:snapToGrid w:val="0"/>
              <w:spacing w:line="312" w:lineRule="auto"/>
              <w:textAlignment w:val="auto"/>
              <w:rPr>
                <w:rFonts w:hint="default" w:ascii="仿宋" w:hAnsi="仿宋" w:eastAsia="仿宋" w:cs="仿宋"/>
                <w:sz w:val="24"/>
                <w:szCs w:val="24"/>
                <w:lang w:val="en-US" w:eastAsia="zh-CN"/>
              </w:rPr>
            </w:pPr>
            <w:r>
              <w:rPr>
                <w:rFonts w:hint="default" w:ascii="仿宋" w:hAnsi="仿宋" w:eastAsia="仿宋" w:cs="仿宋"/>
                <w:b/>
                <w:bCs/>
                <w:sz w:val="24"/>
                <w:szCs w:val="24"/>
                <w:lang w:val="en-US" w:eastAsia="zh-CN"/>
              </w:rPr>
              <w:t>到刊率：</w:t>
            </w:r>
            <w:r>
              <w:rPr>
                <w:rFonts w:hint="default" w:ascii="仿宋" w:hAnsi="仿宋" w:eastAsia="仿宋" w:cs="仿宋"/>
                <w:sz w:val="24"/>
                <w:szCs w:val="24"/>
                <w:lang w:val="en-US" w:eastAsia="zh-CN"/>
              </w:rPr>
              <w:t>期刊年到刊率要求达到97%以上。乙方在规定的时间内如未达到规定的97%的到刊率，每低于规定到刊率的1%乙方须向甲方支付¥1,000.00违约金（订购期刊不能按时出版等特殊情况除外）。</w:t>
            </w:r>
          </w:p>
          <w:p w14:paraId="6348F59D">
            <w:pPr>
              <w:keepNext w:val="0"/>
              <w:keepLines w:val="0"/>
              <w:pageBreakBefore w:val="0"/>
              <w:widowControl w:val="0"/>
              <w:numPr>
                <w:ilvl w:val="0"/>
                <w:numId w:val="4"/>
              </w:numPr>
              <w:kinsoku/>
              <w:wordWrap/>
              <w:overflowPunct/>
              <w:topLinePunct w:val="0"/>
              <w:autoSpaceDE/>
              <w:autoSpaceDN/>
              <w:bidi w:val="0"/>
              <w:adjustRightInd w:val="0"/>
              <w:snapToGrid w:val="0"/>
              <w:spacing w:line="312" w:lineRule="auto"/>
              <w:textAlignment w:val="auto"/>
              <w:rPr>
                <w:rFonts w:hint="default" w:ascii="仿宋" w:hAnsi="仿宋" w:eastAsia="仿宋" w:cs="仿宋"/>
                <w:sz w:val="24"/>
                <w:szCs w:val="24"/>
                <w:lang w:val="en-US" w:eastAsia="zh-CN"/>
              </w:rPr>
            </w:pPr>
            <w:r>
              <w:rPr>
                <w:rFonts w:hint="default" w:ascii="仿宋" w:hAnsi="仿宋" w:eastAsia="仿宋" w:cs="仿宋"/>
                <w:b/>
                <w:bCs/>
                <w:sz w:val="24"/>
                <w:szCs w:val="24"/>
                <w:lang w:val="en-US" w:eastAsia="zh-CN"/>
              </w:rPr>
              <w:t>到刊限期：</w:t>
            </w:r>
            <w:r>
              <w:rPr>
                <w:rFonts w:hint="default" w:ascii="仿宋" w:hAnsi="仿宋" w:eastAsia="仿宋" w:cs="仿宋"/>
                <w:sz w:val="24"/>
                <w:szCs w:val="24"/>
                <w:lang w:val="en-US" w:eastAsia="zh-CN"/>
              </w:rPr>
              <w:t>邮发期刊要求在出版后15天内到货；非邮发期刊要求在出版后20天内到货。</w:t>
            </w:r>
          </w:p>
        </w:tc>
      </w:tr>
    </w:tbl>
    <w:p w14:paraId="65BCBBA3">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付款结算：</w:t>
      </w:r>
    </w:p>
    <w:p w14:paraId="4A78D7D1">
      <w:pPr>
        <w:keepNext w:val="0"/>
        <w:keepLines w:val="0"/>
        <w:pageBreakBefore w:val="0"/>
        <w:widowControl w:val="0"/>
        <w:numPr>
          <w:ilvl w:val="-1"/>
          <w:numId w:val="0"/>
        </w:numPr>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采购人最迟于合同签订当年年底按中标价格（实洋）付完款，供货商必须按实洋数开具国家税务部门监制的正式发票，开出的所有发票必须与成交供应商的名称一致。</w:t>
      </w:r>
    </w:p>
    <w:p w14:paraId="3DB56ED6">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其他要求</w:t>
      </w:r>
    </w:p>
    <w:p w14:paraId="550FBAD2">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bCs/>
          <w:sz w:val="28"/>
          <w:szCs w:val="28"/>
          <w:lang w:val="en-US" w:eastAsia="zh-CN"/>
        </w:rPr>
      </w:pPr>
      <w:r>
        <w:rPr>
          <w:rFonts w:hint="eastAsia" w:ascii="宋体" w:hAnsi="宋体" w:eastAsia="宋体" w:cs="宋体"/>
          <w:b w:val="0"/>
          <w:bCs w:val="0"/>
          <w:sz w:val="28"/>
          <w:szCs w:val="28"/>
          <w:lang w:val="en-US" w:eastAsia="zh-CN"/>
        </w:rPr>
        <w:t>征订目录要求：供货商必须每年按时免费提供国内各类型出版社及其他专门的最新书本式国内版期刊征订目录（含报价），特别是符合采购人教学和科研需要的当年新增期刊目录。</w:t>
      </w:r>
    </w:p>
    <w:p w14:paraId="78834CBA">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bCs/>
          <w:sz w:val="28"/>
          <w:szCs w:val="28"/>
          <w:lang w:val="en-US" w:eastAsia="zh-CN"/>
        </w:rPr>
      </w:pPr>
      <w:r>
        <w:rPr>
          <w:rFonts w:hint="eastAsia" w:ascii="宋体" w:hAnsi="宋体" w:eastAsia="宋体" w:cs="宋体"/>
          <w:b w:val="0"/>
          <w:bCs w:val="0"/>
          <w:sz w:val="28"/>
          <w:szCs w:val="28"/>
          <w:lang w:val="en-US" w:eastAsia="zh-CN"/>
        </w:rPr>
        <w:t>送货要求：供货商必须免费配送期刊到图书馆指定地点，同时提供期刊送货电子清单，每批期刊包装清单，包括批号、包号、刊号、刊名（改名的注明原刊名）、卷次、期次、册数、投递或发刊日期等内容，并合计种数、份数。期刊未按到期顺序到馆的需在刊名后注明；每份期刊必须有明确清晰的标识，包括刊号、卷期等。供货商应对发送的期刊进行防湿和防破装卸要求的包装，并派专人追踪每批期刊的到货情况。期刊在到达采购人指定地点前发生的不可预见的风险均由供货商负责。送货时供应商物流送货人员需将每包及每批期刊当面交接给图书馆阅览室工作人员，接收人签字后方可离开。如果由于未当面交接造成期刊丢失，供应商应承担补货或赔偿责任。</w:t>
      </w:r>
    </w:p>
    <w:p w14:paraId="3051D908">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期刊变更信息要求：因出版方原因未能及时供刊，及期刊发生停刊、改名、合并、分刊、载体变化或个别期刊价格非正常上涨等情况，供货商应编制专门的《期刊变动情况表》，尽早通知采购人并说明原因。平时对于采购人对期刊的询订、催缺应及时处理和回复。</w:t>
      </w:r>
    </w:p>
    <w:p w14:paraId="1405782F">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到刊统计：供货商提供期刊到货的统计；每三个月提供未到刊清单，并以书面形式分析、说明原因，尽快给予补充未到的期刊。</w:t>
      </w:r>
    </w:p>
    <w:p w14:paraId="31EA61F6">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追加订购：供货商应尽量按投标报价时相同的优惠条件订购采购人要求追加订购的其他期刊。</w:t>
      </w:r>
    </w:p>
    <w:p w14:paraId="669F7876">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验收要求：每批次期刊的品种、册数等必须与对应的清单相符。如果在验收过程中，同一批次期刊出现3%的期刊品种与相应清单不符，采购人有权退回该批次全部期刊，要求供应商重新核对，直至该批期刊与清单相符，并在一周内发到采购人，由此产生的费用都由供应商提供。</w:t>
      </w:r>
    </w:p>
    <w:p w14:paraId="2944C44D">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售后服务：期刊出现下列任一情况，供货商必须无条件负责退换，退换货发生的全部费用由供货商承担。①出现装订、印刷质量问题和损坏；②配套不齐全；③提供的品种和数量与订货单不符；④采购人认为必须退刊的其它情况。</w:t>
      </w:r>
    </w:p>
    <w:p w14:paraId="1133CC43">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评审规则</w:t>
      </w:r>
    </w:p>
    <w:p w14:paraId="3F7AA290">
      <w:pPr>
        <w:numPr>
          <w:ilvl w:val="0"/>
          <w:numId w:val="0"/>
        </w:numPr>
        <w:spacing w:line="360" w:lineRule="auto"/>
        <w:ind w:firstLine="560" w:firstLineChars="200"/>
        <w:jc w:val="both"/>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（一）本次询价须满足3家或以上供应商提交报价；若不足三家，本次询价失败。</w:t>
      </w:r>
    </w:p>
    <w:p w14:paraId="76500463">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（二）无论询价结果如何，供应商应承担准备文件和递交文件所发生的任何成本和费用。</w:t>
      </w:r>
    </w:p>
    <w:p w14:paraId="4C668315">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（三）最低评标（审）价法：在满足采购需求全部实质性要求的供应商中选择下浮率最高的供应商为成交（中标）供应商。</w:t>
      </w:r>
    </w:p>
    <w:p w14:paraId="12B598F7">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eastAsia="宋体" w:cs="宋体"/>
          <w:b/>
          <w:bCs/>
          <w:sz w:val="28"/>
          <w:szCs w:val="28"/>
          <w:lang w:val="en-US" w:eastAsia="zh-CN"/>
        </w:rPr>
      </w:pPr>
      <w:r>
        <w:rPr>
          <w:rFonts w:hint="eastAsia" w:ascii="宋体" w:hAnsi="宋体" w:eastAsia="宋体" w:cs="宋体"/>
          <w:b/>
          <w:bCs w:val="0"/>
          <w:sz w:val="28"/>
          <w:szCs w:val="28"/>
        </w:rPr>
        <w:t>供应商</w:t>
      </w:r>
      <w:r>
        <w:rPr>
          <w:rFonts w:hint="eastAsia" w:ascii="宋体" w:hAnsi="宋体" w:eastAsia="宋体" w:cs="宋体"/>
          <w:b/>
          <w:bCs w:val="0"/>
          <w:sz w:val="28"/>
          <w:szCs w:val="28"/>
          <w:lang w:val="en-US" w:eastAsia="zh-CN"/>
        </w:rPr>
        <w:t>提交的资料（提交的资料均须加盖公章）</w:t>
      </w:r>
    </w:p>
    <w:p w14:paraId="02A7DE23">
      <w:pPr>
        <w:pageBreakBefore w:val="0"/>
        <w:widowControl w:val="0"/>
        <w:numPr>
          <w:ilvl w:val="0"/>
          <w:numId w:val="6"/>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按要求提交加盖报价供应商公章的《报价一览表》（附件1）。</w:t>
      </w:r>
    </w:p>
    <w:p w14:paraId="05CC7375">
      <w:pPr>
        <w:pageBreakBefore w:val="0"/>
        <w:widowControl w:val="0"/>
        <w:numPr>
          <w:ilvl w:val="0"/>
          <w:numId w:val="6"/>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按要求提交加盖报价供应商公章的《承诺书》（附件2）。</w:t>
      </w:r>
    </w:p>
    <w:p w14:paraId="2281FEDA">
      <w:pPr>
        <w:pageBreakBefore w:val="0"/>
        <w:widowControl w:val="0"/>
        <w:numPr>
          <w:ilvl w:val="0"/>
          <w:numId w:val="6"/>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提交企业法人《营业执照》副本或事业单位法人证书或法人登记证书复印件，并加盖报价供应商公章。</w:t>
      </w:r>
    </w:p>
    <w:p w14:paraId="29311573">
      <w:pPr>
        <w:pageBreakBefore w:val="0"/>
        <w:widowControl w:val="0"/>
        <w:numPr>
          <w:ilvl w:val="0"/>
          <w:numId w:val="6"/>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提交加盖报价供应商公章的国家有关部门核发的有效的《出版物经营许可证》。</w:t>
      </w:r>
    </w:p>
    <w:p w14:paraId="7D555246">
      <w:pPr>
        <w:pageBreakBefore w:val="0"/>
        <w:widowControl w:val="0"/>
        <w:numPr>
          <w:ilvl w:val="0"/>
          <w:numId w:val="6"/>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sz w:val="28"/>
          <w:szCs w:val="28"/>
        </w:rPr>
      </w:pPr>
      <w:r>
        <w:rPr>
          <w:rFonts w:hint="eastAsia" w:ascii="宋体" w:hAnsi="宋体" w:cs="宋体"/>
          <w:b w:val="0"/>
          <w:bCs w:val="0"/>
          <w:sz w:val="28"/>
          <w:szCs w:val="28"/>
          <w:lang w:val="en-US" w:eastAsia="zh-CN"/>
        </w:rPr>
        <w:t>供应商所递交的报价文件须密封完好，并且在封面填写项目名称；采购人拒收没有密封完好的报价文件。</w:t>
      </w:r>
    </w:p>
    <w:p w14:paraId="20E08FAE">
      <w:pPr>
        <w:rPr>
          <w:rFonts w:hint="eastAsia" w:ascii="宋体" w:hAnsi="宋体" w:cs="宋体"/>
          <w:b/>
          <w:sz w:val="24"/>
          <w:szCs w:val="24"/>
        </w:rPr>
      </w:pPr>
      <w:r>
        <w:rPr>
          <w:rFonts w:hint="eastAsia" w:ascii="宋体" w:hAnsi="宋体" w:cs="宋体"/>
          <w:b/>
          <w:sz w:val="24"/>
          <w:szCs w:val="24"/>
        </w:rPr>
        <w:br w:type="page"/>
      </w:r>
    </w:p>
    <w:p w14:paraId="236C3566">
      <w:pPr>
        <w:tabs>
          <w:tab w:val="left" w:pos="8100"/>
        </w:tabs>
        <w:adjustRightInd w:val="0"/>
        <w:snapToGrid w:val="0"/>
        <w:spacing w:line="348" w:lineRule="auto"/>
        <w:rPr>
          <w:rFonts w:hint="eastAsia" w:ascii="宋体" w:hAnsi="宋体" w:cs="宋体"/>
          <w:b/>
          <w:sz w:val="24"/>
          <w:szCs w:val="24"/>
          <w:lang w:val="en-US" w:eastAsia="zh-CN"/>
        </w:rPr>
      </w:pPr>
      <w:r>
        <w:rPr>
          <w:rFonts w:hint="eastAsia" w:ascii="宋体" w:hAnsi="宋体" w:cs="宋体"/>
          <w:b/>
          <w:sz w:val="24"/>
          <w:szCs w:val="24"/>
        </w:rPr>
        <w:t>附件</w:t>
      </w:r>
      <w:r>
        <w:rPr>
          <w:rFonts w:hint="eastAsia" w:ascii="宋体" w:hAnsi="宋体" w:cs="宋体"/>
          <w:b/>
          <w:sz w:val="24"/>
          <w:szCs w:val="24"/>
          <w:lang w:val="en-US" w:eastAsia="zh-CN"/>
        </w:rPr>
        <w:t>1</w:t>
      </w:r>
    </w:p>
    <w:p w14:paraId="5B82E9C5">
      <w:pPr>
        <w:tabs>
          <w:tab w:val="left" w:pos="8100"/>
        </w:tabs>
        <w:adjustRightInd w:val="0"/>
        <w:snapToGrid w:val="0"/>
        <w:spacing w:line="348" w:lineRule="auto"/>
        <w:rPr>
          <w:rFonts w:hint="eastAsia" w:ascii="宋体" w:hAnsi="宋体" w:cs="宋体"/>
          <w:b/>
          <w:sz w:val="24"/>
          <w:szCs w:val="24"/>
          <w:lang w:val="en-US" w:eastAsia="zh-CN"/>
        </w:rPr>
      </w:pPr>
    </w:p>
    <w:p w14:paraId="5A8C3922">
      <w:pPr>
        <w:pStyle w:val="3"/>
        <w:spacing w:before="0" w:after="0" w:line="400" w:lineRule="exact"/>
        <w:jc w:val="center"/>
        <w:rPr>
          <w:rFonts w:ascii="宋体" w:hAnsi="宋体" w:cs="宋体"/>
          <w:szCs w:val="28"/>
        </w:rPr>
      </w:pPr>
      <w:r>
        <w:rPr>
          <w:rFonts w:hint="eastAsia" w:ascii="宋体" w:hAnsi="宋体" w:cs="宋体"/>
          <w:szCs w:val="28"/>
        </w:rPr>
        <w:t xml:space="preserve"> 报价一览表  </w:t>
      </w:r>
    </w:p>
    <w:p w14:paraId="45AB7F78">
      <w:pPr>
        <w:pStyle w:val="3"/>
        <w:spacing w:before="0" w:after="0" w:line="400" w:lineRule="exact"/>
        <w:ind w:right="480"/>
        <w:jc w:val="right"/>
        <w:rPr>
          <w:rFonts w:ascii="宋体" w:hAnsi="宋体" w:cs="宋体"/>
          <w:b w:val="0"/>
          <w:kern w:val="2"/>
          <w:sz w:val="24"/>
          <w:szCs w:val="24"/>
        </w:rPr>
      </w:pPr>
    </w:p>
    <w:tbl>
      <w:tblPr>
        <w:tblStyle w:val="11"/>
        <w:tblW w:w="9348" w:type="dxa"/>
        <w:jc w:val="center"/>
        <w:tblLayout w:type="fixed"/>
        <w:tblCellMar>
          <w:top w:w="0" w:type="dxa"/>
          <w:left w:w="30" w:type="dxa"/>
          <w:bottom w:w="0" w:type="dxa"/>
          <w:right w:w="30" w:type="dxa"/>
        </w:tblCellMar>
      </w:tblPr>
      <w:tblGrid>
        <w:gridCol w:w="2549"/>
        <w:gridCol w:w="6799"/>
      </w:tblGrid>
      <w:tr w14:paraId="2AABB889">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nil"/>
              <w:right w:val="single" w:color="auto" w:sz="6" w:space="0"/>
            </w:tcBorders>
            <w:vAlign w:val="center"/>
          </w:tcPr>
          <w:p w14:paraId="549F79DB">
            <w:pPr>
              <w:autoSpaceDE w:val="0"/>
              <w:autoSpaceDN w:val="0"/>
              <w:adjustRightInd w:val="0"/>
              <w:spacing w:line="480" w:lineRule="exact"/>
              <w:jc w:val="center"/>
              <w:rPr>
                <w:rFonts w:ascii="宋体" w:hAnsi="宋体"/>
                <w:b/>
                <w:sz w:val="24"/>
              </w:rPr>
            </w:pPr>
            <w:r>
              <w:rPr>
                <w:rFonts w:hint="eastAsia" w:ascii="宋体" w:hAnsi="宋体"/>
                <w:b/>
                <w:sz w:val="24"/>
              </w:rPr>
              <w:t>项目名称</w:t>
            </w:r>
          </w:p>
        </w:tc>
        <w:tc>
          <w:tcPr>
            <w:tcW w:w="6799" w:type="dxa"/>
            <w:tcBorders>
              <w:top w:val="single" w:color="auto" w:sz="6" w:space="0"/>
              <w:left w:val="single" w:color="auto" w:sz="6" w:space="0"/>
              <w:bottom w:val="single" w:color="auto" w:sz="6" w:space="0"/>
              <w:right w:val="single" w:color="auto" w:sz="6" w:space="0"/>
            </w:tcBorders>
            <w:vAlign w:val="center"/>
          </w:tcPr>
          <w:p w14:paraId="2AE0BF6A">
            <w:pPr>
              <w:autoSpaceDE w:val="0"/>
              <w:autoSpaceDN w:val="0"/>
              <w:adjustRightInd w:val="0"/>
              <w:spacing w:line="480" w:lineRule="exact"/>
              <w:jc w:val="center"/>
              <w:rPr>
                <w:rFonts w:ascii="宋体" w:hAnsi="宋体"/>
                <w:sz w:val="24"/>
              </w:rPr>
            </w:pPr>
            <w:r>
              <w:rPr>
                <w:rFonts w:hint="eastAsia" w:ascii="宋体" w:hAnsi="宋体"/>
                <w:sz w:val="24"/>
                <w:lang w:val="en-US" w:eastAsia="zh-CN"/>
              </w:rPr>
              <w:t>广东生态工程职业学院2025年纸质期刊采购项目</w:t>
            </w:r>
          </w:p>
        </w:tc>
      </w:tr>
      <w:tr w14:paraId="01AAC228">
        <w:tblPrEx>
          <w:tblCellMar>
            <w:top w:w="0" w:type="dxa"/>
            <w:left w:w="30" w:type="dxa"/>
            <w:bottom w:w="0" w:type="dxa"/>
            <w:right w:w="30" w:type="dxa"/>
          </w:tblCellMar>
        </w:tblPrEx>
        <w:trPr>
          <w:cantSplit/>
          <w:trHeight w:val="1193" w:hRule="atLeast"/>
          <w:jc w:val="center"/>
        </w:trPr>
        <w:tc>
          <w:tcPr>
            <w:tcW w:w="2549" w:type="dxa"/>
            <w:tcBorders>
              <w:top w:val="single" w:color="auto" w:sz="6" w:space="0"/>
              <w:left w:val="single" w:color="auto" w:sz="6" w:space="0"/>
              <w:right w:val="single" w:color="auto" w:sz="6" w:space="0"/>
            </w:tcBorders>
            <w:vAlign w:val="center"/>
          </w:tcPr>
          <w:p w14:paraId="79D983D0">
            <w:pPr>
              <w:autoSpaceDE w:val="0"/>
              <w:autoSpaceDN w:val="0"/>
              <w:adjustRightInd w:val="0"/>
              <w:spacing w:line="480" w:lineRule="exact"/>
              <w:jc w:val="center"/>
              <w:rPr>
                <w:rFonts w:hint="default" w:ascii="宋体" w:hAnsi="宋体" w:eastAsiaTheme="minorEastAsia"/>
                <w:b/>
                <w:sz w:val="24"/>
                <w:lang w:val="en-US" w:eastAsia="zh-CN"/>
              </w:rPr>
            </w:pPr>
            <w:r>
              <w:rPr>
                <w:rFonts w:hint="eastAsia" w:ascii="宋体" w:hAnsi="宋体"/>
                <w:b/>
                <w:sz w:val="24"/>
                <w:lang w:val="en-US" w:eastAsia="zh-CN"/>
              </w:rPr>
              <w:t>下浮</w:t>
            </w:r>
            <w:r>
              <w:rPr>
                <w:rFonts w:hint="eastAsia" w:ascii="宋体" w:hAnsi="宋体"/>
                <w:b/>
                <w:sz w:val="24"/>
              </w:rPr>
              <w:t>率报价</w:t>
            </w:r>
            <w:r>
              <w:rPr>
                <w:rFonts w:hint="eastAsia" w:ascii="宋体" w:hAnsi="宋体"/>
                <w:b/>
                <w:sz w:val="24"/>
                <w:lang w:eastAsia="zh-CN"/>
              </w:rPr>
              <w:t>（</w:t>
            </w:r>
            <w:r>
              <w:rPr>
                <w:rFonts w:hint="eastAsia" w:ascii="宋体" w:hAnsi="宋体"/>
                <w:b/>
                <w:sz w:val="24"/>
                <w:lang w:val="en-US" w:eastAsia="zh-CN"/>
              </w:rPr>
              <w:t>%）</w:t>
            </w:r>
          </w:p>
        </w:tc>
        <w:tc>
          <w:tcPr>
            <w:tcW w:w="6799" w:type="dxa"/>
            <w:tcBorders>
              <w:top w:val="single" w:color="auto" w:sz="6" w:space="0"/>
              <w:left w:val="single" w:color="auto" w:sz="6" w:space="0"/>
              <w:bottom w:val="single" w:color="auto" w:sz="4" w:space="0"/>
              <w:right w:val="single" w:color="auto" w:sz="6" w:space="0"/>
            </w:tcBorders>
            <w:vAlign w:val="center"/>
          </w:tcPr>
          <w:p w14:paraId="48396AB5">
            <w:pPr>
              <w:autoSpaceDE w:val="0"/>
              <w:autoSpaceDN w:val="0"/>
              <w:adjustRightInd w:val="0"/>
              <w:spacing w:line="480" w:lineRule="exact"/>
              <w:ind w:firstLine="723" w:firstLineChars="300"/>
              <w:rPr>
                <w:rFonts w:ascii="宋体" w:hAnsi="宋体"/>
                <w:b/>
                <w:sz w:val="24"/>
                <w:u w:val="single"/>
              </w:rPr>
            </w:pPr>
            <w:r>
              <w:rPr>
                <w:rFonts w:hint="eastAsia" w:ascii="宋体" w:hAnsi="宋体"/>
                <w:b/>
                <w:sz w:val="24"/>
                <w:u w:val="single"/>
              </w:rPr>
              <w:t xml:space="preserve">                               </w:t>
            </w:r>
            <w:r>
              <w:rPr>
                <w:rFonts w:hint="eastAsia" w:ascii="宋体" w:hAnsi="宋体"/>
                <w:b/>
                <w:sz w:val="24"/>
                <w:u w:val="single"/>
                <w:lang w:eastAsia="zh-CN"/>
              </w:rPr>
              <w:t>（</w:t>
            </w:r>
            <w:r>
              <w:rPr>
                <w:rFonts w:hint="eastAsia" w:ascii="宋体" w:hAnsi="宋体"/>
                <w:b/>
                <w:sz w:val="24"/>
                <w:u w:val="single"/>
                <w:lang w:val="en-US" w:eastAsia="zh-CN"/>
              </w:rPr>
              <w:t>%）</w:t>
            </w:r>
            <w:r>
              <w:rPr>
                <w:rFonts w:hint="eastAsia" w:ascii="宋体" w:hAnsi="宋体"/>
                <w:b/>
                <w:sz w:val="24"/>
                <w:u w:val="single"/>
              </w:rPr>
              <w:t xml:space="preserve">     </w:t>
            </w:r>
          </w:p>
        </w:tc>
      </w:tr>
      <w:tr w14:paraId="2A0F75BA">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single" w:color="auto" w:sz="6" w:space="0"/>
              <w:right w:val="single" w:color="auto" w:sz="6" w:space="0"/>
            </w:tcBorders>
            <w:vAlign w:val="center"/>
          </w:tcPr>
          <w:p w14:paraId="54B88D1C">
            <w:pPr>
              <w:autoSpaceDE w:val="0"/>
              <w:autoSpaceDN w:val="0"/>
              <w:adjustRightInd w:val="0"/>
              <w:spacing w:line="480" w:lineRule="exact"/>
              <w:jc w:val="center"/>
              <w:rPr>
                <w:rFonts w:ascii="宋体" w:hAnsi="宋体"/>
                <w:b/>
                <w:sz w:val="24"/>
              </w:rPr>
            </w:pPr>
            <w:r>
              <w:rPr>
                <w:rFonts w:hint="eastAsia" w:ascii="宋体" w:hAnsi="宋体"/>
                <w:b/>
                <w:sz w:val="24"/>
              </w:rPr>
              <w:t>备注</w:t>
            </w:r>
          </w:p>
        </w:tc>
        <w:tc>
          <w:tcPr>
            <w:tcW w:w="6799" w:type="dxa"/>
            <w:tcBorders>
              <w:top w:val="single" w:color="auto" w:sz="6" w:space="0"/>
              <w:left w:val="single" w:color="auto" w:sz="6" w:space="0"/>
              <w:bottom w:val="single" w:color="auto" w:sz="6" w:space="0"/>
              <w:right w:val="single" w:color="auto" w:sz="6" w:space="0"/>
            </w:tcBorders>
            <w:vAlign w:val="center"/>
          </w:tcPr>
          <w:p w14:paraId="30BC5BAE">
            <w:pPr>
              <w:autoSpaceDE w:val="0"/>
              <w:autoSpaceDN w:val="0"/>
              <w:adjustRightInd w:val="0"/>
              <w:spacing w:line="480" w:lineRule="exact"/>
              <w:jc w:val="left"/>
              <w:rPr>
                <w:rFonts w:hint="eastAsia" w:ascii="宋体" w:hAnsi="宋体" w:eastAsiaTheme="minorEastAsia"/>
                <w:sz w:val="24"/>
                <w:lang w:eastAsia="zh-CN"/>
              </w:rPr>
            </w:pPr>
            <w:r>
              <w:rPr>
                <w:rFonts w:hint="eastAsia" w:ascii="宋体" w:hAnsi="宋体"/>
                <w:sz w:val="24"/>
              </w:rPr>
              <w:t>报价费用应包含运输配送费、税费、人工等一切费用</w:t>
            </w:r>
            <w:r>
              <w:rPr>
                <w:rFonts w:hint="eastAsia" w:ascii="宋体" w:hAnsi="宋体"/>
                <w:sz w:val="24"/>
                <w:lang w:eastAsia="zh-CN"/>
              </w:rPr>
              <w:t>，</w:t>
            </w:r>
            <w:r>
              <w:rPr>
                <w:rFonts w:hint="eastAsia" w:ascii="宋体" w:hAnsi="宋体"/>
                <w:sz w:val="24"/>
                <w:lang w:val="en-US" w:eastAsia="zh-CN"/>
              </w:rPr>
              <w:t>下浮</w:t>
            </w:r>
            <w:r>
              <w:rPr>
                <w:rFonts w:hint="eastAsia" w:ascii="宋体" w:hAnsi="宋体"/>
                <w:sz w:val="24"/>
                <w:lang w:eastAsia="zh-CN"/>
              </w:rPr>
              <w:t>率精确到小数点后一位数。</w:t>
            </w:r>
          </w:p>
        </w:tc>
      </w:tr>
    </w:tbl>
    <w:p w14:paraId="466ECC8C">
      <w:pPr>
        <w:pStyle w:val="8"/>
        <w:spacing w:line="480" w:lineRule="exact"/>
        <w:ind w:firstLine="100" w:firstLineChars="50"/>
        <w:rPr>
          <w:rFonts w:hAnsi="宋体"/>
        </w:rPr>
      </w:pPr>
      <w:r>
        <w:rPr>
          <w:rFonts w:hint="eastAsia" w:hAnsi="宋体"/>
        </w:rPr>
        <w:t>注：</w:t>
      </w:r>
    </w:p>
    <w:p w14:paraId="06CA7157">
      <w:pPr>
        <w:pStyle w:val="8"/>
        <w:numPr>
          <w:ilvl w:val="0"/>
          <w:numId w:val="7"/>
        </w:numPr>
        <w:spacing w:line="0" w:lineRule="atLeast"/>
        <w:rPr>
          <w:rFonts w:hAnsi="宋体"/>
        </w:rPr>
      </w:pPr>
      <w:r>
        <w:rPr>
          <w:rFonts w:hint="eastAsia" w:hAnsi="宋体"/>
        </w:rPr>
        <w:t>本表报价包含完成本项目应预见和不可预见的一切含税费用。</w:t>
      </w:r>
    </w:p>
    <w:p w14:paraId="5EC0C669">
      <w:pPr>
        <w:pStyle w:val="8"/>
        <w:numPr>
          <w:ilvl w:val="0"/>
          <w:numId w:val="7"/>
        </w:numPr>
        <w:spacing w:line="0" w:lineRule="atLeast"/>
        <w:rPr>
          <w:rFonts w:hAnsi="宋体"/>
        </w:rPr>
      </w:pPr>
      <w:r>
        <w:rPr>
          <w:rFonts w:hint="eastAsia"/>
        </w:rPr>
        <w:t>填写此表时不得改变表格的形式。</w:t>
      </w:r>
    </w:p>
    <w:p w14:paraId="5E0CA0D7">
      <w:pPr>
        <w:pStyle w:val="8"/>
        <w:numPr>
          <w:ilvl w:val="0"/>
          <w:numId w:val="7"/>
        </w:numPr>
        <w:spacing w:line="0" w:lineRule="atLeast"/>
        <w:rPr>
          <w:rFonts w:hAnsi="宋体"/>
        </w:rPr>
      </w:pPr>
      <w:r>
        <w:rPr>
          <w:rFonts w:hint="eastAsia"/>
        </w:rPr>
        <w:t>以上表中内容必须计算机录入、填写、打印。手写按无效报价处理。</w:t>
      </w:r>
    </w:p>
    <w:p w14:paraId="5EB96584">
      <w:pPr>
        <w:pStyle w:val="8"/>
        <w:numPr>
          <w:ilvl w:val="0"/>
          <w:numId w:val="7"/>
        </w:numPr>
        <w:spacing w:line="0" w:lineRule="atLeast"/>
        <w:rPr>
          <w:rFonts w:hint="eastAsia" w:hAnsi="Courier New"/>
        </w:rPr>
      </w:pPr>
      <w:r>
        <w:rPr>
          <w:rFonts w:hint="eastAsia"/>
          <w:lang w:val="en-US" w:eastAsia="zh-CN"/>
        </w:rPr>
        <w:t>必须满足</w:t>
      </w:r>
      <w:r>
        <w:rPr>
          <w:rFonts w:hint="eastAsia" w:ascii="宋体" w:hAnsi="Courier New" w:eastAsiaTheme="minorEastAsia" w:cstheme="minorBidi"/>
          <w:b w:val="0"/>
          <w:bCs w:val="0"/>
          <w:sz w:val="20"/>
          <w:szCs w:val="24"/>
        </w:rPr>
        <w:t>服务内容</w:t>
      </w:r>
      <w:r>
        <w:rPr>
          <w:rFonts w:hint="eastAsia" w:ascii="宋体" w:hAnsi="Courier New" w:eastAsiaTheme="minorEastAsia" w:cstheme="minorBidi"/>
          <w:b w:val="0"/>
          <w:bCs w:val="0"/>
          <w:sz w:val="20"/>
          <w:szCs w:val="24"/>
          <w:lang w:val="en-US" w:eastAsia="zh-CN"/>
        </w:rPr>
        <w:t>等服务要求。</w:t>
      </w:r>
    </w:p>
    <w:p w14:paraId="559446D6">
      <w:pPr>
        <w:pStyle w:val="8"/>
        <w:spacing w:line="0" w:lineRule="atLeast"/>
        <w:ind w:left="336"/>
        <w:rPr>
          <w:rFonts w:hAnsi="宋体"/>
          <w:color w:val="FF0000"/>
        </w:rPr>
      </w:pPr>
    </w:p>
    <w:p w14:paraId="78ED5A0C"/>
    <w:p w14:paraId="6CE467FB"/>
    <w:p w14:paraId="36BBD847">
      <w:pPr>
        <w:spacing w:line="480" w:lineRule="exact"/>
        <w:ind w:left="4599" w:leftChars="2190" w:firstLine="240" w:firstLineChars="100"/>
        <w:rPr>
          <w:rFonts w:ascii="宋体" w:hAnsi="宋体" w:cs="宋体"/>
          <w:sz w:val="24"/>
          <w:szCs w:val="24"/>
        </w:rPr>
      </w:pPr>
    </w:p>
    <w:p w14:paraId="3EDCFA39">
      <w:pPr>
        <w:spacing w:line="480" w:lineRule="exact"/>
        <w:ind w:firstLine="4560" w:firstLineChars="1900"/>
        <w:rPr>
          <w:rFonts w:ascii="宋体" w:hAnsi="宋体" w:cs="宋体"/>
          <w:sz w:val="24"/>
          <w:szCs w:val="24"/>
        </w:rPr>
      </w:pPr>
      <w:r>
        <w:rPr>
          <w:rFonts w:hint="eastAsia" w:ascii="宋体" w:hAnsi="宋体" w:cs="宋体"/>
          <w:sz w:val="24"/>
          <w:szCs w:val="24"/>
        </w:rPr>
        <w:t>投标人（公章）：</w:t>
      </w:r>
    </w:p>
    <w:p w14:paraId="795F18C4">
      <w:pPr>
        <w:spacing w:line="480" w:lineRule="exact"/>
        <w:ind w:firstLine="4560" w:firstLineChars="1900"/>
        <w:rPr>
          <w:rFonts w:ascii="宋体" w:hAnsi="宋体" w:cs="宋体"/>
          <w:sz w:val="24"/>
          <w:szCs w:val="24"/>
        </w:rPr>
      </w:pPr>
      <w:r>
        <w:rPr>
          <w:rFonts w:hint="eastAsia" w:ascii="宋体" w:hAnsi="宋体" w:cs="宋体"/>
          <w:sz w:val="24"/>
          <w:szCs w:val="24"/>
        </w:rPr>
        <w:t>投标人地址：</w:t>
      </w:r>
    </w:p>
    <w:p w14:paraId="2D60A608">
      <w:pPr>
        <w:spacing w:line="480" w:lineRule="exact"/>
        <w:ind w:left="4549" w:leftChars="2166" w:firstLine="0" w:firstLineChars="0"/>
        <w:rPr>
          <w:rFonts w:hint="eastAsia"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14:paraId="1E710CAC">
      <w:pPr>
        <w:spacing w:line="480" w:lineRule="exact"/>
        <w:ind w:firstLine="480" w:firstLineChars="200"/>
        <w:rPr>
          <w:rFonts w:hint="default" w:ascii="宋体" w:hAnsi="宋体" w:cs="宋体"/>
          <w:sz w:val="24"/>
          <w:szCs w:val="24"/>
          <w:lang w:val="en-US" w:eastAsia="zh-CN"/>
        </w:rPr>
      </w:pPr>
      <w:r>
        <w:rPr>
          <w:rFonts w:hint="eastAsia" w:ascii="宋体" w:hAnsi="宋体" w:cs="宋体"/>
          <w:sz w:val="24"/>
          <w:szCs w:val="24"/>
          <w:lang w:val="en-US" w:eastAsia="zh-CN"/>
        </w:rPr>
        <w:t xml:space="preserve">                                  身份证号码：</w:t>
      </w:r>
    </w:p>
    <w:p w14:paraId="55AF518A">
      <w:pPr>
        <w:spacing w:line="480" w:lineRule="exact"/>
        <w:ind w:firstLine="4560" w:firstLineChars="1900"/>
        <w:rPr>
          <w:rFonts w:hint="eastAsia" w:ascii="宋体" w:hAnsi="宋体" w:cs="宋体"/>
          <w:sz w:val="24"/>
          <w:szCs w:val="24"/>
        </w:rPr>
      </w:pPr>
      <w:r>
        <w:rPr>
          <w:rFonts w:hint="eastAsia" w:ascii="宋体" w:hAnsi="宋体" w:cs="宋体"/>
          <w:sz w:val="24"/>
          <w:szCs w:val="24"/>
        </w:rPr>
        <w:t>联系电话：</w:t>
      </w:r>
    </w:p>
    <w:p w14:paraId="25F031A4">
      <w:pPr>
        <w:spacing w:line="480" w:lineRule="exact"/>
        <w:ind w:firstLine="4560" w:firstLineChars="1900"/>
        <w:rPr>
          <w:rFonts w:ascii="宋体" w:hAnsi="宋体" w:cs="宋体"/>
          <w:sz w:val="24"/>
          <w:szCs w:val="24"/>
        </w:rPr>
      </w:pPr>
      <w:r>
        <w:rPr>
          <w:rFonts w:hint="eastAsia" w:ascii="宋体" w:hAnsi="宋体" w:cs="宋体"/>
          <w:sz w:val="24"/>
          <w:szCs w:val="24"/>
        </w:rPr>
        <w:t>日    期：</w:t>
      </w:r>
    </w:p>
    <w:p w14:paraId="1FAB622A">
      <w:pPr>
        <w:rPr>
          <w:rFonts w:ascii="宋体" w:hAnsi="宋体" w:cs="宋体"/>
          <w:sz w:val="24"/>
          <w:szCs w:val="24"/>
        </w:rPr>
      </w:pPr>
    </w:p>
    <w:p w14:paraId="0A115128">
      <w:pPr>
        <w:rPr>
          <w:rFonts w:ascii="宋体" w:hAnsi="宋体" w:cs="宋体"/>
          <w:sz w:val="24"/>
          <w:szCs w:val="24"/>
        </w:rPr>
      </w:pPr>
    </w:p>
    <w:p w14:paraId="2BA79E56">
      <w:pPr>
        <w:pStyle w:val="9"/>
      </w:pPr>
    </w:p>
    <w:p w14:paraId="3E0CA950">
      <w:pPr>
        <w:rPr>
          <w:rFonts w:hint="eastAsia" w:ascii="宋体" w:hAnsi="宋体" w:cs="宋体"/>
          <w:b/>
          <w:sz w:val="24"/>
          <w:szCs w:val="24"/>
        </w:rPr>
      </w:pPr>
      <w:r>
        <w:rPr>
          <w:rFonts w:hint="eastAsia" w:ascii="宋体" w:hAnsi="宋体" w:cs="宋体"/>
          <w:b/>
          <w:sz w:val="24"/>
          <w:szCs w:val="24"/>
        </w:rPr>
        <w:t>（注：本报价表为</w:t>
      </w:r>
      <w:r>
        <w:rPr>
          <w:rFonts w:hint="eastAsia" w:ascii="宋体" w:hAnsi="宋体" w:cs="宋体"/>
          <w:b/>
          <w:sz w:val="24"/>
          <w:szCs w:val="24"/>
          <w:u w:val="single"/>
        </w:rPr>
        <w:t>必要文件</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p w14:paraId="0819E9C2">
      <w:pPr>
        <w:rPr>
          <w:rFonts w:hint="eastAsia" w:ascii="宋体" w:hAnsi="宋体" w:cs="宋体"/>
          <w:b/>
          <w:sz w:val="24"/>
          <w:szCs w:val="24"/>
        </w:rPr>
      </w:pPr>
      <w:r>
        <w:rPr>
          <w:rFonts w:hint="eastAsia" w:ascii="宋体" w:hAnsi="宋体" w:cs="宋体"/>
          <w:b/>
          <w:sz w:val="24"/>
          <w:szCs w:val="24"/>
        </w:rPr>
        <w:br w:type="page"/>
      </w:r>
    </w:p>
    <w:p w14:paraId="7F242AC3">
      <w:pPr>
        <w:rPr>
          <w:rFonts w:ascii="宋体" w:hAnsi="宋体" w:cs="宋体"/>
          <w:szCs w:val="28"/>
        </w:rPr>
      </w:pPr>
      <w:r>
        <w:rPr>
          <w:rFonts w:hint="eastAsia" w:ascii="宋体" w:hAnsi="宋体" w:cs="宋体"/>
          <w:b/>
          <w:sz w:val="24"/>
        </w:rPr>
        <w:t>附件</w:t>
      </w:r>
      <w:r>
        <w:rPr>
          <w:rFonts w:hint="eastAsia" w:ascii="宋体" w:hAnsi="宋体" w:cs="宋体"/>
          <w:b/>
          <w:sz w:val="24"/>
          <w:lang w:val="en-US" w:eastAsia="zh-CN"/>
        </w:rPr>
        <w:t>2</w:t>
      </w:r>
    </w:p>
    <w:p w14:paraId="196C36CF">
      <w:pPr>
        <w:pStyle w:val="3"/>
        <w:spacing w:before="0" w:after="0" w:line="400" w:lineRule="exact"/>
        <w:jc w:val="center"/>
        <w:rPr>
          <w:rFonts w:ascii="仿宋" w:hAnsi="仿宋" w:eastAsia="仿宋" w:cs="仿宋"/>
          <w:sz w:val="44"/>
          <w:szCs w:val="44"/>
        </w:rPr>
      </w:pPr>
      <w:r>
        <w:rPr>
          <w:rFonts w:hint="eastAsia" w:ascii="宋体" w:hAnsi="宋体" w:cs="宋体"/>
          <w:szCs w:val="28"/>
        </w:rPr>
        <w:t>承诺书</w:t>
      </w:r>
    </w:p>
    <w:p w14:paraId="171156D4">
      <w:pPr>
        <w:pStyle w:val="15"/>
        <w:widowControl w:val="0"/>
        <w:spacing w:line="480" w:lineRule="auto"/>
        <w:ind w:firstLine="0" w:firstLineChars="0"/>
        <w:jc w:val="left"/>
        <w:textAlignment w:val="auto"/>
        <w:rPr>
          <w:rFonts w:ascii="仿宋" w:hAnsi="仿宋" w:eastAsia="仿宋" w:cs="仿宋"/>
          <w:sz w:val="24"/>
          <w:szCs w:val="24"/>
        </w:rPr>
      </w:pPr>
    </w:p>
    <w:p w14:paraId="24E16C60">
      <w:pPr>
        <w:pStyle w:val="15"/>
        <w:widowControl w:val="0"/>
        <w:spacing w:line="480" w:lineRule="auto"/>
        <w:ind w:firstLine="480"/>
        <w:jc w:val="left"/>
        <w:textAlignment w:val="auto"/>
        <w:rPr>
          <w:rFonts w:ascii="宋体" w:hAnsi="宋体" w:cs="宋体"/>
          <w:sz w:val="24"/>
          <w:szCs w:val="24"/>
        </w:rPr>
      </w:pPr>
      <w:r>
        <w:rPr>
          <w:rFonts w:hint="eastAsia" w:ascii="宋体" w:hAnsi="宋体" w:cs="宋体"/>
          <w:sz w:val="24"/>
          <w:szCs w:val="24"/>
        </w:rPr>
        <w:t>我方已知悉并清楚理解本次采购的全部内容，对本次采购作出实质性响应。同时我方声明：我司完全符合《政府采购法》第二十二条规定的条件</w:t>
      </w:r>
      <w:r>
        <w:rPr>
          <w:rFonts w:hint="eastAsia" w:ascii="宋体" w:hAnsi="宋体" w:cs="宋体"/>
          <w:sz w:val="24"/>
          <w:szCs w:val="24"/>
          <w:lang w:eastAsia="zh-CN"/>
        </w:rPr>
        <w:t>；提供全新的产品，且非联合体投标。如若我方不符合上述声明，则贵校有权随时无条件解除双方之间合同，一切责任均由我方承担</w:t>
      </w:r>
      <w:r>
        <w:rPr>
          <w:rFonts w:hint="eastAsia" w:ascii="宋体" w:hAnsi="宋体" w:cs="宋体"/>
          <w:sz w:val="24"/>
          <w:szCs w:val="24"/>
        </w:rPr>
        <w:t>。</w:t>
      </w:r>
    </w:p>
    <w:p w14:paraId="51DEC27A">
      <w:pPr>
        <w:pStyle w:val="15"/>
        <w:ind w:firstLine="480"/>
        <w:jc w:val="left"/>
        <w:rPr>
          <w:rFonts w:ascii="宋体" w:hAnsi="宋体" w:cs="宋体"/>
          <w:sz w:val="24"/>
          <w:szCs w:val="24"/>
        </w:rPr>
      </w:pPr>
    </w:p>
    <w:p w14:paraId="7C855167">
      <w:pPr>
        <w:tabs>
          <w:tab w:val="left" w:pos="676"/>
          <w:tab w:val="left" w:pos="2330"/>
          <w:tab w:val="left" w:pos="9230"/>
        </w:tabs>
        <w:autoSpaceDE w:val="0"/>
        <w:autoSpaceDN w:val="0"/>
        <w:adjustRightInd w:val="0"/>
        <w:rPr>
          <w:rFonts w:ascii="宋体" w:hAnsi="宋体" w:cs="宋体"/>
          <w:sz w:val="24"/>
          <w:szCs w:val="24"/>
        </w:rPr>
      </w:pPr>
    </w:p>
    <w:p w14:paraId="29154268">
      <w:pPr>
        <w:tabs>
          <w:tab w:val="left" w:pos="676"/>
          <w:tab w:val="left" w:pos="2330"/>
          <w:tab w:val="left" w:pos="9230"/>
        </w:tabs>
        <w:autoSpaceDE w:val="0"/>
        <w:autoSpaceDN w:val="0"/>
        <w:adjustRightInd w:val="0"/>
        <w:rPr>
          <w:rFonts w:ascii="宋体" w:hAnsi="宋体" w:cs="宋体"/>
          <w:sz w:val="24"/>
          <w:szCs w:val="24"/>
        </w:rPr>
      </w:pPr>
    </w:p>
    <w:p w14:paraId="2231B54B">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投标人（公章）：</w:t>
      </w:r>
    </w:p>
    <w:p w14:paraId="5A7F2849">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投标人地址：</w:t>
      </w:r>
    </w:p>
    <w:p w14:paraId="3C314323">
      <w:pPr>
        <w:spacing w:line="480" w:lineRule="exact"/>
        <w:ind w:left="4838" w:leftChars="2304" w:firstLine="0" w:firstLineChars="0"/>
        <w:rPr>
          <w:rFonts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14:paraId="4B073AD2">
      <w:pPr>
        <w:spacing w:line="480" w:lineRule="exact"/>
        <w:ind w:left="4599" w:leftChars="2190" w:firstLine="240" w:firstLineChars="100"/>
        <w:rPr>
          <w:rFonts w:ascii="仿宋" w:hAnsi="仿宋" w:eastAsia="仿宋" w:cs="仿宋"/>
          <w:sz w:val="28"/>
          <w:szCs w:val="28"/>
        </w:rPr>
      </w:pPr>
      <w:r>
        <w:rPr>
          <w:rFonts w:hint="eastAsia" w:ascii="宋体" w:hAnsi="宋体" w:cs="宋体"/>
          <w:sz w:val="24"/>
          <w:szCs w:val="24"/>
        </w:rPr>
        <w:t>日    期：</w:t>
      </w:r>
    </w:p>
    <w:p w14:paraId="7B3ADAE3">
      <w:pPr>
        <w:rPr>
          <w:rFonts w:cs="Tahoma"/>
          <w:b/>
          <w:sz w:val="24"/>
        </w:rPr>
      </w:pPr>
    </w:p>
    <w:p w14:paraId="66E435E8">
      <w:pPr>
        <w:rPr>
          <w:rFonts w:cs="Tahoma"/>
          <w:b/>
          <w:sz w:val="24"/>
        </w:rPr>
      </w:pPr>
    </w:p>
    <w:p w14:paraId="1D8C1945">
      <w:pPr>
        <w:rPr>
          <w:rFonts w:cs="Tahoma"/>
          <w:b/>
          <w:sz w:val="24"/>
        </w:rPr>
      </w:pPr>
    </w:p>
    <w:p w14:paraId="68F24E78">
      <w:pPr>
        <w:rPr>
          <w:rFonts w:cs="Tahoma"/>
          <w:b/>
          <w:sz w:val="24"/>
        </w:rPr>
      </w:pPr>
    </w:p>
    <w:p w14:paraId="121FE320">
      <w:pPr>
        <w:rPr>
          <w:rFonts w:cs="Tahoma"/>
          <w:b/>
          <w:sz w:val="24"/>
        </w:rPr>
      </w:pPr>
    </w:p>
    <w:p w14:paraId="113705AE">
      <w:pPr>
        <w:rPr>
          <w:rFonts w:cs="Tahoma"/>
          <w:b/>
          <w:sz w:val="24"/>
        </w:rPr>
      </w:pPr>
    </w:p>
    <w:p w14:paraId="640C2B36">
      <w:pPr>
        <w:rPr>
          <w:rFonts w:cs="Tahoma"/>
          <w:b/>
          <w:sz w:val="24"/>
        </w:rPr>
      </w:pPr>
    </w:p>
    <w:p w14:paraId="6D0E1BA1">
      <w:pPr>
        <w:rPr>
          <w:rFonts w:cs="Tahoma"/>
          <w:b/>
          <w:sz w:val="24"/>
        </w:rPr>
      </w:pPr>
    </w:p>
    <w:p w14:paraId="375C4695">
      <w:pPr>
        <w:pStyle w:val="9"/>
        <w:rPr>
          <w:rFonts w:hint="eastAsia"/>
        </w:rPr>
      </w:pPr>
      <w:r>
        <w:rPr>
          <w:rFonts w:hint="eastAsia" w:ascii="宋体" w:hAnsi="宋体" w:cs="宋体"/>
          <w:b/>
          <w:sz w:val="24"/>
          <w:szCs w:val="24"/>
        </w:rPr>
        <w:t>（注：本证明书为</w:t>
      </w:r>
      <w:r>
        <w:rPr>
          <w:rFonts w:hint="eastAsia" w:ascii="宋体" w:hAnsi="宋体" w:cs="宋体"/>
          <w:b/>
          <w:sz w:val="24"/>
          <w:szCs w:val="24"/>
          <w:u w:val="single"/>
        </w:rPr>
        <w:t>必要文件(不得改变格式)</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汉鼎简楷体">
    <w:altName w:val="宋体"/>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96D41F"/>
    <w:multiLevelType w:val="singleLevel"/>
    <w:tmpl w:val="8E96D41F"/>
    <w:lvl w:ilvl="0" w:tentative="0">
      <w:start w:val="1"/>
      <w:numFmt w:val="decimal"/>
      <w:lvlText w:val="%1."/>
      <w:lvlJc w:val="left"/>
      <w:pPr>
        <w:tabs>
          <w:tab w:val="left" w:pos="312"/>
        </w:tabs>
      </w:pPr>
    </w:lvl>
  </w:abstractNum>
  <w:abstractNum w:abstractNumId="1">
    <w:nsid w:val="B6DC88D4"/>
    <w:multiLevelType w:val="singleLevel"/>
    <w:tmpl w:val="B6DC88D4"/>
    <w:lvl w:ilvl="0" w:tentative="0">
      <w:start w:val="1"/>
      <w:numFmt w:val="decimal"/>
      <w:suff w:val="nothing"/>
      <w:lvlText w:val="%1．"/>
      <w:lvlJc w:val="left"/>
      <w:pPr>
        <w:ind w:left="0" w:firstLine="0"/>
      </w:pPr>
      <w:rPr>
        <w:rFonts w:hint="default"/>
        <w:sz w:val="28"/>
        <w:szCs w:val="28"/>
      </w:rPr>
    </w:lvl>
  </w:abstractNum>
  <w:abstractNum w:abstractNumId="2">
    <w:nsid w:val="CE8A4AAE"/>
    <w:multiLevelType w:val="singleLevel"/>
    <w:tmpl w:val="CE8A4AAE"/>
    <w:lvl w:ilvl="0" w:tentative="0">
      <w:start w:val="1"/>
      <w:numFmt w:val="decimal"/>
      <w:suff w:val="nothing"/>
      <w:lvlText w:val="%1．"/>
      <w:lvlJc w:val="left"/>
      <w:pPr>
        <w:ind w:left="0" w:firstLine="0"/>
      </w:pPr>
      <w:rPr>
        <w:rFonts w:hint="default"/>
      </w:rPr>
    </w:lvl>
  </w:abstractNum>
  <w:abstractNum w:abstractNumId="3">
    <w:nsid w:val="DA10EFBD"/>
    <w:multiLevelType w:val="singleLevel"/>
    <w:tmpl w:val="DA10EFBD"/>
    <w:lvl w:ilvl="0" w:tentative="0">
      <w:start w:val="1"/>
      <w:numFmt w:val="chineseCounting"/>
      <w:suff w:val="nothing"/>
      <w:lvlText w:val="%1、"/>
      <w:lvlJc w:val="left"/>
      <w:pPr>
        <w:ind w:left="0" w:firstLine="420"/>
      </w:pPr>
      <w:rPr>
        <w:rFonts w:hint="eastAsia" w:ascii="宋体" w:hAnsi="宋体" w:eastAsia="宋体" w:cs="宋体"/>
        <w:b/>
        <w:bCs/>
        <w:sz w:val="28"/>
        <w:szCs w:val="28"/>
      </w:rPr>
    </w:lvl>
  </w:abstractNum>
  <w:abstractNum w:abstractNumId="4">
    <w:nsid w:val="0C8449BC"/>
    <w:multiLevelType w:val="singleLevel"/>
    <w:tmpl w:val="0C8449BC"/>
    <w:lvl w:ilvl="0" w:tentative="0">
      <w:start w:val="1"/>
      <w:numFmt w:val="chineseCounting"/>
      <w:suff w:val="nothing"/>
      <w:lvlText w:val="（%1）"/>
      <w:lvlJc w:val="left"/>
      <w:pPr>
        <w:ind w:left="0" w:firstLine="420"/>
      </w:pPr>
      <w:rPr>
        <w:rFonts w:hint="eastAsia"/>
        <w:sz w:val="28"/>
        <w:szCs w:val="28"/>
      </w:rPr>
    </w:lvl>
  </w:abstractNum>
  <w:abstractNum w:abstractNumId="5">
    <w:nsid w:val="20427A2D"/>
    <w:multiLevelType w:val="singleLevel"/>
    <w:tmpl w:val="20427A2D"/>
    <w:lvl w:ilvl="0" w:tentative="0">
      <w:start w:val="1"/>
      <w:numFmt w:val="chineseCounting"/>
      <w:suff w:val="nothing"/>
      <w:lvlText w:val="（%1）"/>
      <w:lvlJc w:val="left"/>
      <w:pPr>
        <w:ind w:left="0" w:firstLine="420"/>
      </w:pPr>
      <w:rPr>
        <w:rFonts w:hint="eastAsia"/>
        <w:b w:val="0"/>
        <w:bCs w:val="0"/>
        <w:sz w:val="28"/>
        <w:szCs w:val="28"/>
      </w:rPr>
    </w:lvl>
  </w:abstractNum>
  <w:abstractNum w:abstractNumId="6">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num w:numId="1">
    <w:abstractNumId w:val="3"/>
  </w:num>
  <w:num w:numId="2">
    <w:abstractNumId w:val="4"/>
  </w:num>
  <w:num w:numId="3">
    <w:abstractNumId w:val="2"/>
  </w:num>
  <w:num w:numId="4">
    <w:abstractNumId w:val="0"/>
  </w:num>
  <w:num w:numId="5">
    <w:abstractNumId w:val="5"/>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0ZTQ3MTY3YzU3ZTNhN2EzZDZjNWJhMzY5ODBmYTAifQ=="/>
  </w:docVars>
  <w:rsids>
    <w:rsidRoot w:val="00000000"/>
    <w:rsid w:val="013B7B86"/>
    <w:rsid w:val="02B35D9A"/>
    <w:rsid w:val="03353615"/>
    <w:rsid w:val="05B2371B"/>
    <w:rsid w:val="05D34F20"/>
    <w:rsid w:val="06B807E5"/>
    <w:rsid w:val="06D73361"/>
    <w:rsid w:val="072E0AA7"/>
    <w:rsid w:val="078E5DFF"/>
    <w:rsid w:val="08DB0410"/>
    <w:rsid w:val="0A007C96"/>
    <w:rsid w:val="0A062E0C"/>
    <w:rsid w:val="0A6A0048"/>
    <w:rsid w:val="0A902BF5"/>
    <w:rsid w:val="0BDD0CD5"/>
    <w:rsid w:val="0C7C0B92"/>
    <w:rsid w:val="0F001001"/>
    <w:rsid w:val="0FA14F53"/>
    <w:rsid w:val="0FAC7731"/>
    <w:rsid w:val="10D601E5"/>
    <w:rsid w:val="11C867BE"/>
    <w:rsid w:val="11FE03CA"/>
    <w:rsid w:val="120B2110"/>
    <w:rsid w:val="12221D7B"/>
    <w:rsid w:val="1269161B"/>
    <w:rsid w:val="131C20FB"/>
    <w:rsid w:val="14325D10"/>
    <w:rsid w:val="15ED073F"/>
    <w:rsid w:val="17A81ECF"/>
    <w:rsid w:val="17D47448"/>
    <w:rsid w:val="19F26CAA"/>
    <w:rsid w:val="1A444EEE"/>
    <w:rsid w:val="1D440623"/>
    <w:rsid w:val="1E311151"/>
    <w:rsid w:val="1F507DBE"/>
    <w:rsid w:val="1F756DE8"/>
    <w:rsid w:val="1FC91AFB"/>
    <w:rsid w:val="2071428F"/>
    <w:rsid w:val="212177E3"/>
    <w:rsid w:val="229D1137"/>
    <w:rsid w:val="24BB1A74"/>
    <w:rsid w:val="25203CCD"/>
    <w:rsid w:val="264A6E5E"/>
    <w:rsid w:val="27402C58"/>
    <w:rsid w:val="27C9523F"/>
    <w:rsid w:val="2C180514"/>
    <w:rsid w:val="2E1609D1"/>
    <w:rsid w:val="2EA65243"/>
    <w:rsid w:val="31993A3E"/>
    <w:rsid w:val="31C52C12"/>
    <w:rsid w:val="32673192"/>
    <w:rsid w:val="370945C1"/>
    <w:rsid w:val="375D5654"/>
    <w:rsid w:val="37753A04"/>
    <w:rsid w:val="39142D2B"/>
    <w:rsid w:val="3A6F7C56"/>
    <w:rsid w:val="3AA7062F"/>
    <w:rsid w:val="3B3360B0"/>
    <w:rsid w:val="3D5642D8"/>
    <w:rsid w:val="3D840E45"/>
    <w:rsid w:val="3E757CD3"/>
    <w:rsid w:val="3E893E94"/>
    <w:rsid w:val="3F516B05"/>
    <w:rsid w:val="3F9D2CB9"/>
    <w:rsid w:val="405E6DAB"/>
    <w:rsid w:val="40C72EA9"/>
    <w:rsid w:val="41E55156"/>
    <w:rsid w:val="4221507E"/>
    <w:rsid w:val="44396ED8"/>
    <w:rsid w:val="447F13B3"/>
    <w:rsid w:val="44B0765F"/>
    <w:rsid w:val="45ED3300"/>
    <w:rsid w:val="460A3C4D"/>
    <w:rsid w:val="48A835D7"/>
    <w:rsid w:val="493F0316"/>
    <w:rsid w:val="49A34401"/>
    <w:rsid w:val="4B1F346C"/>
    <w:rsid w:val="4C800A2A"/>
    <w:rsid w:val="4CA7245A"/>
    <w:rsid w:val="4D1A2C2C"/>
    <w:rsid w:val="4D976207"/>
    <w:rsid w:val="4E0B131C"/>
    <w:rsid w:val="4E3715BC"/>
    <w:rsid w:val="4E79218D"/>
    <w:rsid w:val="4EA67132"/>
    <w:rsid w:val="508D3CB3"/>
    <w:rsid w:val="50B04307"/>
    <w:rsid w:val="50E34490"/>
    <w:rsid w:val="5116195C"/>
    <w:rsid w:val="526C7E21"/>
    <w:rsid w:val="534327B1"/>
    <w:rsid w:val="536A2CA6"/>
    <w:rsid w:val="53A64BAC"/>
    <w:rsid w:val="56BD287A"/>
    <w:rsid w:val="5A6A4AC7"/>
    <w:rsid w:val="5AB5741E"/>
    <w:rsid w:val="5D2B6790"/>
    <w:rsid w:val="5D93012F"/>
    <w:rsid w:val="5F21609C"/>
    <w:rsid w:val="5FA34D03"/>
    <w:rsid w:val="60194955"/>
    <w:rsid w:val="632E2B36"/>
    <w:rsid w:val="63EA3E83"/>
    <w:rsid w:val="64C235B4"/>
    <w:rsid w:val="670B7726"/>
    <w:rsid w:val="671B3414"/>
    <w:rsid w:val="6745107B"/>
    <w:rsid w:val="679A7E28"/>
    <w:rsid w:val="69175343"/>
    <w:rsid w:val="6A532BBE"/>
    <w:rsid w:val="6AA5542C"/>
    <w:rsid w:val="6C72589E"/>
    <w:rsid w:val="6DA240C6"/>
    <w:rsid w:val="6EB92BCC"/>
    <w:rsid w:val="6F244C95"/>
    <w:rsid w:val="6FEA3571"/>
    <w:rsid w:val="72D1172F"/>
    <w:rsid w:val="7320696C"/>
    <w:rsid w:val="74844CAB"/>
    <w:rsid w:val="74C35771"/>
    <w:rsid w:val="750B2761"/>
    <w:rsid w:val="754937FF"/>
    <w:rsid w:val="76E77774"/>
    <w:rsid w:val="774EE9EE"/>
    <w:rsid w:val="781E4519"/>
    <w:rsid w:val="78D43D28"/>
    <w:rsid w:val="7A031D6B"/>
    <w:rsid w:val="7A6D61E2"/>
    <w:rsid w:val="7AA31C03"/>
    <w:rsid w:val="7AF20495"/>
    <w:rsid w:val="7C096877"/>
    <w:rsid w:val="7C580BF1"/>
    <w:rsid w:val="7FFF2AF9"/>
    <w:rsid w:val="9FAC410C"/>
    <w:rsid w:val="CBFBD130"/>
    <w:rsid w:val="D73E7720"/>
    <w:rsid w:val="E9FFF72D"/>
    <w:rsid w:val="F77CFD32"/>
    <w:rsid w:val="FADF95B9"/>
    <w:rsid w:val="FAFF3886"/>
    <w:rsid w:val="FFFA5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Autospacing="1" w:afterAutospacing="1"/>
      <w:jc w:val="left"/>
      <w:outlineLvl w:val="0"/>
    </w:pPr>
    <w:rPr>
      <w:rFonts w:hint="eastAsia" w:ascii="宋体" w:hAnsi="宋体"/>
      <w:b/>
      <w:kern w:val="44"/>
      <w:sz w:val="48"/>
      <w:szCs w:val="48"/>
    </w:rPr>
  </w:style>
  <w:style w:type="paragraph" w:styleId="3">
    <w:name w:val="heading 2"/>
    <w:basedOn w:val="1"/>
    <w:next w:val="1"/>
    <w:autoRedefine/>
    <w:qFormat/>
    <w:uiPriority w:val="0"/>
    <w:pPr>
      <w:keepNext/>
      <w:keepLines/>
      <w:spacing w:before="260" w:after="260" w:line="416" w:lineRule="auto"/>
      <w:outlineLvl w:val="1"/>
    </w:pPr>
    <w:rPr>
      <w:rFonts w:ascii="Arial" w:hAnsi="Arial"/>
      <w:b/>
      <w:sz w:val="28"/>
      <w:szCs w:val="32"/>
    </w:rPr>
  </w:style>
  <w:style w:type="character" w:default="1" w:styleId="12">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4">
    <w:name w:val="Body Text"/>
    <w:basedOn w:val="1"/>
    <w:next w:val="5"/>
    <w:autoRedefine/>
    <w:qFormat/>
    <w:uiPriority w:val="0"/>
    <w:pPr>
      <w:spacing w:line="460" w:lineRule="exact"/>
    </w:pPr>
    <w:rPr>
      <w:rFonts w:ascii="汉鼎简楷体" w:hAnsi="宋体" w:eastAsia="汉鼎简楷体"/>
      <w:b/>
      <w:bCs/>
      <w:spacing w:val="4"/>
      <w:sz w:val="24"/>
      <w:szCs w:val="20"/>
    </w:rPr>
  </w:style>
  <w:style w:type="paragraph" w:customStyle="1" w:styleId="5">
    <w:name w:val="Default"/>
    <w:next w:val="6"/>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6">
    <w:name w:val="header"/>
    <w:basedOn w:val="1"/>
    <w:next w:val="7"/>
    <w:autoRedefine/>
    <w:qFormat/>
    <w:uiPriority w:val="99"/>
    <w:pPr>
      <w:pBdr>
        <w:bottom w:val="single" w:color="auto" w:sz="6" w:space="1"/>
      </w:pBdr>
      <w:tabs>
        <w:tab w:val="center" w:pos="4153"/>
        <w:tab w:val="right" w:pos="8306"/>
      </w:tabs>
      <w:snapToGrid w:val="0"/>
      <w:jc w:val="center"/>
    </w:pPr>
    <w:rPr>
      <w:sz w:val="18"/>
      <w:szCs w:val="18"/>
    </w:rPr>
  </w:style>
  <w:style w:type="paragraph" w:styleId="7">
    <w:name w:val="footer"/>
    <w:basedOn w:val="1"/>
    <w:autoRedefine/>
    <w:qFormat/>
    <w:uiPriority w:val="99"/>
    <w:pPr>
      <w:tabs>
        <w:tab w:val="center" w:pos="4153"/>
        <w:tab w:val="right" w:pos="8306"/>
      </w:tabs>
      <w:snapToGrid w:val="0"/>
      <w:jc w:val="left"/>
    </w:pPr>
    <w:rPr>
      <w:sz w:val="18"/>
      <w:szCs w:val="18"/>
    </w:rPr>
  </w:style>
  <w:style w:type="paragraph" w:styleId="8">
    <w:name w:val="Plain Text"/>
    <w:basedOn w:val="1"/>
    <w:autoRedefine/>
    <w:qFormat/>
    <w:uiPriority w:val="0"/>
    <w:pPr>
      <w:widowControl w:val="0"/>
      <w:spacing w:line="240" w:lineRule="auto"/>
      <w:textAlignment w:val="auto"/>
    </w:pPr>
    <w:rPr>
      <w:rFonts w:ascii="宋体" w:hAnsi="Courier New"/>
      <w:color w:val="auto"/>
      <w:sz w:val="20"/>
      <w:szCs w:val="24"/>
    </w:rPr>
  </w:style>
  <w:style w:type="paragraph" w:styleId="9">
    <w:name w:val="toc 1"/>
    <w:basedOn w:val="1"/>
    <w:next w:val="1"/>
    <w:autoRedefine/>
    <w:qFormat/>
    <w:uiPriority w:val="39"/>
  </w:style>
  <w:style w:type="paragraph" w:styleId="10">
    <w:name w:val="Normal (Web)"/>
    <w:basedOn w:val="1"/>
    <w:autoRedefine/>
    <w:qFormat/>
    <w:uiPriority w:val="99"/>
    <w:pPr>
      <w:widowControl/>
      <w:spacing w:before="100" w:beforeAutospacing="1" w:after="100" w:afterAutospacing="1"/>
      <w:jc w:val="left"/>
    </w:pPr>
    <w:rPr>
      <w:rFonts w:ascii="宋体" w:hAnsi="宋体"/>
      <w:kern w:val="0"/>
      <w:sz w:val="24"/>
    </w:rPr>
  </w:style>
  <w:style w:type="paragraph" w:customStyle="1" w:styleId="13">
    <w:name w:val="＃Ｄ级样式"/>
    <w:basedOn w:val="1"/>
    <w:next w:val="1"/>
    <w:autoRedefine/>
    <w:qFormat/>
    <w:uiPriority w:val="0"/>
    <w:pPr>
      <w:autoSpaceDE w:val="0"/>
      <w:autoSpaceDN w:val="0"/>
      <w:adjustRightInd w:val="0"/>
      <w:spacing w:line="460" w:lineRule="exact"/>
      <w:ind w:firstLine="480" w:firstLineChars="200"/>
    </w:pPr>
    <w:rPr>
      <w:rFonts w:ascii="Arial" w:hAnsi="Arial"/>
      <w:bCs/>
      <w:sz w:val="24"/>
      <w:szCs w:val="24"/>
    </w:rPr>
  </w:style>
  <w:style w:type="paragraph" w:styleId="14">
    <w:name w:val="List Paragraph"/>
    <w:basedOn w:val="1"/>
    <w:autoRedefine/>
    <w:unhideWhenUsed/>
    <w:qFormat/>
    <w:uiPriority w:val="34"/>
    <w:pPr>
      <w:ind w:firstLine="420" w:firstLineChars="200"/>
    </w:pPr>
  </w:style>
  <w:style w:type="paragraph" w:customStyle="1" w:styleId="15">
    <w:name w:val="_Style 3"/>
    <w:basedOn w:val="1"/>
    <w:autoRedefine/>
    <w:qFormat/>
    <w:uiPriority w:val="99"/>
    <w:pPr>
      <w:ind w:firstLine="420" w:firstLineChars="20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3046</Words>
  <Characters>3130</Characters>
  <Lines>0</Lines>
  <Paragraphs>0</Paragraphs>
  <TotalTime>1</TotalTime>
  <ScaleCrop>false</ScaleCrop>
  <LinksUpToDate>false</LinksUpToDate>
  <CharactersWithSpaces>3215</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2021-07-20T10:19:00Z</dcterms:created>
  <dc:creator>nuoxiyu</dc:creator>
  <cp:lastModifiedBy>sunrise</cp:lastModifiedBy>
  <dcterms:modified xsi:type="dcterms:W3CDTF">2024-11-22T09:54:50Z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8C2E2D5240C14A549A646BC16E656E8B_13</vt:lpwstr>
  </property>
</Properties>
</file>