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93575">
      <w:pPr>
        <w:jc w:val="center"/>
      </w:pPr>
      <w:r>
        <w:rPr>
          <w:rFonts w:hint="eastAsia" w:asciiTheme="majorEastAsia" w:hAnsiTheme="majorEastAsia" w:eastAsiaTheme="majorEastAsia" w:cstheme="majorEastAsia"/>
          <w:b/>
          <w:color w:val="000000" w:themeColor="text1"/>
          <w:sz w:val="36"/>
          <w:szCs w:val="36"/>
          <w14:textFill>
            <w14:solidFill>
              <w14:schemeClr w14:val="tx1"/>
            </w14:solidFill>
          </w14:textFill>
        </w:rPr>
        <w:t>广东生态工程职业学院第二届全国大学生职业生涯规划大赛省复赛、决赛阶段培育优化服务项目需</w:t>
      </w:r>
      <w:r>
        <w:rPr>
          <w:rFonts w:hint="eastAsia" w:asciiTheme="majorEastAsia" w:hAnsiTheme="majorEastAsia" w:eastAsiaTheme="majorEastAsia" w:cstheme="majorEastAsia"/>
          <w:b/>
          <w:sz w:val="36"/>
          <w:szCs w:val="36"/>
        </w:rPr>
        <w:t>求书</w:t>
      </w:r>
    </w:p>
    <w:p w14:paraId="6713C537">
      <w:pPr>
        <w:spacing w:line="360" w:lineRule="auto"/>
        <w:jc w:val="left"/>
        <w:rPr>
          <w:rFonts w:hint="eastAsia" w:ascii="宋体" w:hAnsi="宋体" w:eastAsia="宋体" w:cs="宋体"/>
          <w:sz w:val="28"/>
          <w:szCs w:val="28"/>
        </w:rPr>
      </w:pPr>
    </w:p>
    <w:p w14:paraId="501235AD">
      <w:pPr>
        <w:pStyle w:val="15"/>
        <w:numPr>
          <w:ilvl w:val="0"/>
          <w:numId w:val="1"/>
        </w:numPr>
        <w:spacing w:line="360" w:lineRule="auto"/>
        <w:ind w:firstLine="562"/>
        <w:jc w:val="left"/>
        <w:rPr>
          <w:rFonts w:hint="eastAsia" w:ascii="宋体" w:hAnsi="宋体" w:eastAsia="宋体" w:cs="宋体"/>
          <w:sz w:val="28"/>
          <w:szCs w:val="28"/>
        </w:rPr>
      </w:pPr>
      <w:r>
        <w:rPr>
          <w:rFonts w:hint="eastAsia" w:ascii="宋体" w:hAnsi="宋体" w:eastAsia="宋体" w:cs="宋体"/>
          <w:b/>
          <w:bCs w:val="0"/>
          <w:sz w:val="28"/>
          <w:szCs w:val="28"/>
        </w:rPr>
        <w:t>项目名称:</w:t>
      </w:r>
      <w:r>
        <w:rPr>
          <w:rFonts w:hint="eastAsia" w:ascii="宋体" w:hAnsi="宋体" w:eastAsia="宋体" w:cs="宋体"/>
          <w:sz w:val="28"/>
          <w:szCs w:val="28"/>
        </w:rPr>
        <w:t>广东生态工程职业学院第二届全国大学生职业规划大赛省复赛、决赛阶段培育优化服务项目</w:t>
      </w:r>
    </w:p>
    <w:p w14:paraId="00E95693">
      <w:pPr>
        <w:pStyle w:val="15"/>
        <w:numPr>
          <w:ilvl w:val="0"/>
          <w:numId w:val="1"/>
        </w:numPr>
        <w:spacing w:line="360" w:lineRule="auto"/>
        <w:ind w:firstLine="562"/>
        <w:jc w:val="left"/>
      </w:pPr>
      <w:r>
        <w:rPr>
          <w:rFonts w:hint="eastAsia" w:ascii="宋体" w:hAnsi="宋体" w:eastAsia="宋体" w:cs="宋体"/>
          <w:b/>
          <w:bCs w:val="0"/>
          <w:sz w:val="28"/>
          <w:szCs w:val="28"/>
        </w:rPr>
        <w:t>项目预算：</w:t>
      </w:r>
      <w:r>
        <w:rPr>
          <w:rFonts w:hint="eastAsia" w:ascii="宋体" w:hAnsi="宋体" w:cs="宋体" w:eastAsiaTheme="minorEastAsia"/>
          <w:bCs w:val="0"/>
          <w:kern w:val="2"/>
          <w:sz w:val="28"/>
          <w:szCs w:val="28"/>
          <w:lang w:val="en-US" w:eastAsia="zh-CN" w:bidi="ar-SA"/>
        </w:rPr>
        <w:t>70000.00元</w:t>
      </w:r>
    </w:p>
    <w:p w14:paraId="07C7F233">
      <w:pPr>
        <w:numPr>
          <w:ilvl w:val="0"/>
          <w:numId w:val="1"/>
        </w:numPr>
        <w:spacing w:line="360" w:lineRule="auto"/>
        <w:ind w:firstLine="562" w:firstLineChars="200"/>
        <w:rPr>
          <w:rFonts w:hint="eastAsia" w:ascii="宋体" w:hAnsi="宋体" w:cs="宋体"/>
          <w:sz w:val="28"/>
          <w:szCs w:val="28"/>
        </w:rPr>
      </w:pPr>
      <w:r>
        <w:rPr>
          <w:rFonts w:hint="eastAsia" w:ascii="宋体" w:hAnsi="宋体" w:eastAsia="宋体" w:cs="宋体"/>
          <w:b/>
          <w:bCs/>
          <w:sz w:val="28"/>
          <w:szCs w:val="28"/>
        </w:rPr>
        <w:t>建设地址: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14:paraId="3A1D8EA8">
      <w:pPr>
        <w:numPr>
          <w:ilvl w:val="0"/>
          <w:numId w:val="1"/>
        </w:numPr>
        <w:spacing w:line="360" w:lineRule="auto"/>
        <w:ind w:firstLine="562" w:firstLineChars="200"/>
        <w:rPr>
          <w:rFonts w:hint="eastAsia"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2BFD9102">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供应商须知：</w:t>
      </w:r>
    </w:p>
    <w:p w14:paraId="49270A89">
      <w:pPr>
        <w:numPr>
          <w:ilvl w:val="0"/>
          <w:numId w:val="2"/>
        </w:numPr>
        <w:spacing w:line="360" w:lineRule="auto"/>
        <w:rPr>
          <w:rFonts w:hint="eastAsia" w:ascii="宋体" w:hAnsi="宋体" w:cs="宋体"/>
          <w:sz w:val="28"/>
          <w:szCs w:val="28"/>
        </w:rPr>
      </w:pPr>
      <w:r>
        <w:rPr>
          <w:rFonts w:hint="eastAsia" w:ascii="宋体" w:hAnsi="宋体" w:cs="宋体"/>
          <w:sz w:val="28"/>
          <w:szCs w:val="28"/>
          <w:lang w:val="zh-CN"/>
        </w:rPr>
        <w:t>供应商应具备《政府采购法》第二十二条规定的条件。</w:t>
      </w:r>
    </w:p>
    <w:p w14:paraId="385E98BE">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3F804248">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具有履行合同所必需的设备和专业技术能力；</w:t>
      </w:r>
    </w:p>
    <w:p w14:paraId="6BED837F">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投标人具有依法纳税和社会保障资金的良好记录；</w:t>
      </w:r>
    </w:p>
    <w:p w14:paraId="1C199570">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具有良好的商业信誉和健全的财务会计制度；</w:t>
      </w:r>
    </w:p>
    <w:p w14:paraId="78CB233D">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参加政府采购活动前三年内，在经营活动中无重大违法记录。</w:t>
      </w:r>
    </w:p>
    <w:p w14:paraId="62AB5A6A">
      <w:pPr>
        <w:numPr>
          <w:ilvl w:val="0"/>
          <w:numId w:val="2"/>
        </w:numPr>
        <w:spacing w:line="360" w:lineRule="auto"/>
        <w:rPr>
          <w:rFonts w:hint="eastAsia"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56CF62A5">
      <w:pPr>
        <w:numPr>
          <w:ilvl w:val="0"/>
          <w:numId w:val="2"/>
        </w:numPr>
        <w:spacing w:line="360" w:lineRule="auto"/>
        <w:rPr>
          <w:rFonts w:hint="eastAsia"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64A0A270">
      <w:pPr>
        <w:numPr>
          <w:ilvl w:val="0"/>
          <w:numId w:val="2"/>
        </w:numPr>
        <w:spacing w:line="360" w:lineRule="auto"/>
        <w:rPr>
          <w:rFonts w:hint="eastAsia" w:ascii="宋体" w:hAnsi="宋体" w:cs="宋体"/>
          <w:sz w:val="28"/>
          <w:szCs w:val="28"/>
        </w:rPr>
      </w:pPr>
      <w:r>
        <w:rPr>
          <w:rFonts w:hint="eastAsia" w:ascii="宋体" w:hAnsi="宋体" w:cs="宋体"/>
          <w:b w:val="0"/>
          <w:bCs w:val="0"/>
          <w:sz w:val="28"/>
          <w:szCs w:val="28"/>
          <w:lang w:val="en-US" w:eastAsia="zh-CN"/>
        </w:rPr>
        <w:t>报价供应商须具备广东省教育部门“小零易购”电字采购系统资质，以截图纸质加盖公章为准。</w:t>
      </w:r>
    </w:p>
    <w:p w14:paraId="724F844C">
      <w:pPr>
        <w:numPr>
          <w:ilvl w:val="0"/>
          <w:numId w:val="2"/>
        </w:numPr>
        <w:spacing w:line="360" w:lineRule="auto"/>
        <w:rPr>
          <w:rFonts w:hint="eastAsia" w:ascii="宋体" w:hAnsi="宋体" w:cs="宋体"/>
          <w:sz w:val="28"/>
          <w:szCs w:val="28"/>
        </w:rPr>
      </w:pPr>
      <w:r>
        <w:rPr>
          <w:rFonts w:hint="eastAsia" w:ascii="宋体" w:hAnsi="宋体" w:cs="宋体"/>
          <w:sz w:val="28"/>
          <w:szCs w:val="28"/>
        </w:rPr>
        <w:t>本项目不接受联合体竞价。</w:t>
      </w:r>
    </w:p>
    <w:p w14:paraId="3CA17CBD">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12</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23</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35E5150C">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6FA5A9DB">
      <w:pPr>
        <w:numPr>
          <w:ilvl w:val="0"/>
          <w:numId w:val="2"/>
        </w:numPr>
        <w:spacing w:line="360" w:lineRule="auto"/>
        <w:ind w:left="0" w:leftChars="0" w:firstLine="420" w:firstLineChars="0"/>
        <w:rPr>
          <w:rFonts w:hint="eastAsia" w:ascii="宋体" w:hAnsi="宋体" w:cs="宋体"/>
          <w:sz w:val="28"/>
          <w:szCs w:val="28"/>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047D10D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sz w:val="28"/>
          <w:szCs w:val="28"/>
        </w:rPr>
      </w:pPr>
      <w:r>
        <w:rPr>
          <w:rFonts w:hint="eastAsia" w:ascii="宋体" w:hAnsi="宋体" w:cs="宋体"/>
          <w:b/>
          <w:bCs/>
          <w:sz w:val="28"/>
          <w:szCs w:val="28"/>
          <w:lang w:val="en-US" w:eastAsia="zh-CN"/>
        </w:rPr>
        <w:t>项目内容及要求:</w:t>
      </w:r>
    </w:p>
    <w:tbl>
      <w:tblPr>
        <w:tblStyle w:val="11"/>
        <w:tblW w:w="5842" w:type="pct"/>
        <w:jc w:val="center"/>
        <w:tblLayout w:type="fixed"/>
        <w:tblCellMar>
          <w:top w:w="0" w:type="dxa"/>
          <w:left w:w="108" w:type="dxa"/>
          <w:bottom w:w="0" w:type="dxa"/>
          <w:right w:w="108" w:type="dxa"/>
        </w:tblCellMar>
      </w:tblPr>
      <w:tblGrid>
        <w:gridCol w:w="1983"/>
        <w:gridCol w:w="5937"/>
        <w:gridCol w:w="1111"/>
        <w:gridCol w:w="926"/>
      </w:tblGrid>
      <w:tr w14:paraId="44DBD798">
        <w:tblPrEx>
          <w:tblCellMar>
            <w:top w:w="0" w:type="dxa"/>
            <w:left w:w="108" w:type="dxa"/>
            <w:bottom w:w="0" w:type="dxa"/>
            <w:right w:w="108" w:type="dxa"/>
          </w:tblCellMar>
        </w:tblPrEx>
        <w:trPr>
          <w:trHeight w:val="382" w:hRule="atLeast"/>
          <w:tblHeader/>
          <w:jc w:val="center"/>
        </w:trPr>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77754">
            <w:pPr>
              <w:widowControl/>
              <w:spacing w:line="288"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服务项目</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3BDC5">
            <w:pPr>
              <w:widowControl/>
              <w:spacing w:line="288"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详细内容</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252AF">
            <w:pPr>
              <w:widowControl/>
              <w:spacing w:line="288"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数量</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28A90">
            <w:pPr>
              <w:widowControl/>
              <w:spacing w:line="288"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单位</w:t>
            </w:r>
          </w:p>
        </w:tc>
      </w:tr>
      <w:tr w14:paraId="5754252A">
        <w:tblPrEx>
          <w:tblCellMar>
            <w:top w:w="0" w:type="dxa"/>
            <w:left w:w="108" w:type="dxa"/>
            <w:bottom w:w="0" w:type="dxa"/>
            <w:right w:w="108" w:type="dxa"/>
          </w:tblCellMar>
        </w:tblPrEx>
        <w:trPr>
          <w:trHeight w:val="754" w:hRule="atLeast"/>
          <w:jc w:val="center"/>
        </w:trPr>
        <w:tc>
          <w:tcPr>
            <w:tcW w:w="995" w:type="pct"/>
            <w:tcBorders>
              <w:top w:val="single" w:color="000000" w:sz="4" w:space="0"/>
              <w:left w:val="single" w:color="000000" w:sz="4" w:space="0"/>
              <w:bottom w:val="single" w:color="000000" w:sz="4" w:space="0"/>
              <w:right w:val="single" w:color="000000" w:sz="4" w:space="0"/>
            </w:tcBorders>
            <w:noWrap/>
            <w:vAlign w:val="center"/>
          </w:tcPr>
          <w:p w14:paraId="7A63F90D">
            <w:pPr>
              <w:widowControl/>
              <w:spacing w:line="288" w:lineRule="auto"/>
              <w:jc w:val="center"/>
              <w:textAlignment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职业规划</w:t>
            </w:r>
          </w:p>
          <w:p w14:paraId="4023E7FC">
            <w:pPr>
              <w:widowControl/>
              <w:spacing w:line="288" w:lineRule="auto"/>
              <w:jc w:val="center"/>
              <w:textAlignment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大赛校赛平台服务</w:t>
            </w:r>
          </w:p>
        </w:tc>
        <w:tc>
          <w:tcPr>
            <w:tcW w:w="2981" w:type="pct"/>
            <w:tcBorders>
              <w:top w:val="single" w:color="000000" w:sz="4" w:space="0"/>
              <w:left w:val="single" w:color="000000" w:sz="4" w:space="0"/>
              <w:bottom w:val="single" w:color="000000" w:sz="4" w:space="0"/>
              <w:right w:val="single" w:color="000000" w:sz="4" w:space="0"/>
            </w:tcBorders>
            <w:vAlign w:val="center"/>
          </w:tcPr>
          <w:p w14:paraId="57CD4D52">
            <w:pPr>
              <w:widowControl/>
              <w:spacing w:line="288" w:lineRule="auto"/>
              <w:jc w:val="left"/>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包含大赛创建、学生报名、作品提交、测评、大赛管理等服务，配备1名技术人员，1名售后咨询人员。</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5687F0F4">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1</w:t>
            </w:r>
          </w:p>
        </w:tc>
        <w:tc>
          <w:tcPr>
            <w:tcW w:w="464" w:type="pct"/>
            <w:tcBorders>
              <w:top w:val="single" w:color="000000" w:sz="4" w:space="0"/>
              <w:left w:val="single" w:color="000000" w:sz="4" w:space="0"/>
              <w:bottom w:val="single" w:color="000000" w:sz="4" w:space="0"/>
              <w:right w:val="single" w:color="000000" w:sz="4" w:space="0"/>
            </w:tcBorders>
            <w:noWrap/>
            <w:vAlign w:val="center"/>
          </w:tcPr>
          <w:p w14:paraId="6DC6AFCC">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项</w:t>
            </w:r>
          </w:p>
        </w:tc>
      </w:tr>
      <w:tr w14:paraId="5BDCEBFC">
        <w:tblPrEx>
          <w:tblCellMar>
            <w:top w:w="0" w:type="dxa"/>
            <w:left w:w="108" w:type="dxa"/>
            <w:bottom w:w="0" w:type="dxa"/>
            <w:right w:w="108" w:type="dxa"/>
          </w:tblCellMar>
        </w:tblPrEx>
        <w:trPr>
          <w:trHeight w:val="754" w:hRule="atLeast"/>
          <w:jc w:val="center"/>
        </w:trPr>
        <w:tc>
          <w:tcPr>
            <w:tcW w:w="995" w:type="pct"/>
            <w:vMerge w:val="restart"/>
            <w:tcBorders>
              <w:top w:val="single" w:color="auto" w:sz="4" w:space="0"/>
              <w:left w:val="single" w:color="auto" w:sz="4" w:space="0"/>
              <w:right w:val="single" w:color="auto" w:sz="4" w:space="0"/>
            </w:tcBorders>
            <w:noWrap/>
            <w:vAlign w:val="center"/>
          </w:tcPr>
          <w:p w14:paraId="2A35D657">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省赛复赛、决赛阶段作品打磨</w:t>
            </w:r>
          </w:p>
        </w:tc>
        <w:tc>
          <w:tcPr>
            <w:tcW w:w="2981" w:type="pct"/>
            <w:tcBorders>
              <w:top w:val="single" w:color="auto" w:sz="4" w:space="0"/>
              <w:left w:val="single" w:color="auto" w:sz="4" w:space="0"/>
              <w:bottom w:val="single" w:color="auto" w:sz="4" w:space="0"/>
              <w:right w:val="single" w:color="auto" w:sz="4" w:space="0"/>
            </w:tcBorders>
            <w:vAlign w:val="center"/>
          </w:tcPr>
          <w:p w14:paraId="5A1BA956">
            <w:pPr>
              <w:widowControl/>
              <w:spacing w:line="288" w:lineRule="auto"/>
              <w:jc w:val="left"/>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生涯发展报告PDF：在PDF内容完善的基础上，邀请省赛级专家进行指导优化</w:t>
            </w:r>
          </w:p>
        </w:tc>
        <w:tc>
          <w:tcPr>
            <w:tcW w:w="557" w:type="pct"/>
            <w:vMerge w:val="restart"/>
            <w:tcBorders>
              <w:top w:val="single" w:color="auto" w:sz="4" w:space="0"/>
              <w:left w:val="single" w:color="auto" w:sz="4" w:space="0"/>
              <w:right w:val="single" w:color="auto" w:sz="4" w:space="0"/>
            </w:tcBorders>
            <w:noWrap/>
            <w:vAlign w:val="center"/>
          </w:tcPr>
          <w:p w14:paraId="05B36373">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1</w:t>
            </w:r>
          </w:p>
        </w:tc>
        <w:tc>
          <w:tcPr>
            <w:tcW w:w="464" w:type="pct"/>
            <w:vMerge w:val="restart"/>
            <w:tcBorders>
              <w:top w:val="single" w:color="auto" w:sz="4" w:space="0"/>
              <w:left w:val="single" w:color="auto" w:sz="4" w:space="0"/>
              <w:right w:val="single" w:color="auto" w:sz="4" w:space="0"/>
            </w:tcBorders>
            <w:noWrap/>
            <w:vAlign w:val="center"/>
          </w:tcPr>
          <w:p w14:paraId="618E9C5F">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项</w:t>
            </w:r>
          </w:p>
        </w:tc>
      </w:tr>
      <w:tr w14:paraId="5AE65A65">
        <w:tblPrEx>
          <w:tblCellMar>
            <w:top w:w="0" w:type="dxa"/>
            <w:left w:w="108" w:type="dxa"/>
            <w:bottom w:w="0" w:type="dxa"/>
            <w:right w:w="108" w:type="dxa"/>
          </w:tblCellMar>
        </w:tblPrEx>
        <w:trPr>
          <w:trHeight w:val="754" w:hRule="atLeast"/>
          <w:jc w:val="center"/>
        </w:trPr>
        <w:tc>
          <w:tcPr>
            <w:tcW w:w="995" w:type="pct"/>
            <w:vMerge w:val="continue"/>
            <w:tcBorders>
              <w:left w:val="single" w:color="auto" w:sz="4" w:space="0"/>
              <w:right w:val="single" w:color="auto" w:sz="4" w:space="0"/>
            </w:tcBorders>
            <w:noWrap/>
            <w:vAlign w:val="center"/>
          </w:tcPr>
          <w:p w14:paraId="33A54286">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c>
          <w:tcPr>
            <w:tcW w:w="2981" w:type="pct"/>
            <w:tcBorders>
              <w:top w:val="single" w:color="auto" w:sz="4" w:space="0"/>
              <w:left w:val="single" w:color="auto" w:sz="4" w:space="0"/>
              <w:bottom w:val="single" w:color="auto" w:sz="4" w:space="0"/>
              <w:right w:val="single" w:color="auto" w:sz="4" w:space="0"/>
            </w:tcBorders>
            <w:vAlign w:val="center"/>
          </w:tcPr>
          <w:p w14:paraId="1B6D4D40">
            <w:pPr>
              <w:widowControl/>
              <w:spacing w:line="288" w:lineRule="auto"/>
              <w:jc w:val="left"/>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生涯发展展示PPT：在PPT内容完善的基础上，不改变原有内容进行字体、排版等美化指导</w:t>
            </w:r>
          </w:p>
        </w:tc>
        <w:tc>
          <w:tcPr>
            <w:tcW w:w="557" w:type="pct"/>
            <w:vMerge w:val="continue"/>
            <w:tcBorders>
              <w:left w:val="single" w:color="auto" w:sz="4" w:space="0"/>
              <w:right w:val="single" w:color="auto" w:sz="4" w:space="0"/>
            </w:tcBorders>
            <w:shd w:val="clear" w:color="auto" w:fill="auto"/>
            <w:noWrap/>
            <w:vAlign w:val="center"/>
          </w:tcPr>
          <w:p w14:paraId="6988085F">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c>
          <w:tcPr>
            <w:tcW w:w="464" w:type="pct"/>
            <w:vMerge w:val="continue"/>
            <w:tcBorders>
              <w:left w:val="single" w:color="auto" w:sz="4" w:space="0"/>
              <w:right w:val="single" w:color="auto" w:sz="4" w:space="0"/>
            </w:tcBorders>
            <w:shd w:val="clear" w:color="auto" w:fill="auto"/>
            <w:noWrap/>
            <w:vAlign w:val="center"/>
          </w:tcPr>
          <w:p w14:paraId="21B9B277">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r>
      <w:tr w14:paraId="6D3486E8">
        <w:tblPrEx>
          <w:tblCellMar>
            <w:top w:w="0" w:type="dxa"/>
            <w:left w:w="108" w:type="dxa"/>
            <w:bottom w:w="0" w:type="dxa"/>
            <w:right w:w="108" w:type="dxa"/>
          </w:tblCellMar>
        </w:tblPrEx>
        <w:trPr>
          <w:trHeight w:val="1499" w:hRule="atLeast"/>
          <w:jc w:val="center"/>
        </w:trPr>
        <w:tc>
          <w:tcPr>
            <w:tcW w:w="995" w:type="pct"/>
            <w:vMerge w:val="continue"/>
            <w:tcBorders>
              <w:left w:val="single" w:color="auto" w:sz="4" w:space="0"/>
              <w:right w:val="single" w:color="auto" w:sz="4" w:space="0"/>
            </w:tcBorders>
            <w:noWrap/>
            <w:vAlign w:val="center"/>
          </w:tcPr>
          <w:p w14:paraId="70EFC858">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c>
          <w:tcPr>
            <w:tcW w:w="2981" w:type="pct"/>
            <w:tcBorders>
              <w:top w:val="single" w:color="auto" w:sz="4" w:space="0"/>
              <w:left w:val="single" w:color="auto" w:sz="4" w:space="0"/>
              <w:bottom w:val="single" w:color="auto" w:sz="4" w:space="0"/>
              <w:right w:val="single" w:color="auto" w:sz="4" w:space="0"/>
            </w:tcBorders>
            <w:vAlign w:val="center"/>
          </w:tcPr>
          <w:p w14:paraId="49E73187">
            <w:pPr>
              <w:widowControl/>
              <w:spacing w:line="288" w:lineRule="auto"/>
              <w:jc w:val="left"/>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路演指导：</w:t>
            </w:r>
          </w:p>
          <w:p w14:paraId="3D84CD81">
            <w:pPr>
              <w:widowControl/>
              <w:spacing w:line="288" w:lineRule="auto"/>
              <w:jc w:val="left"/>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1.演讲的逻辑要点</w:t>
            </w:r>
            <w:r>
              <w:rPr>
                <w:rFonts w:hint="eastAsia" w:ascii="宋体" w:hAnsi="宋体" w:eastAsia="宋体" w:cs="宋体"/>
                <w:color w:val="000000" w:themeColor="text1"/>
                <w:kern w:val="0"/>
                <w:sz w:val="21"/>
                <w:szCs w:val="21"/>
                <w:lang w:bidi="ar"/>
                <w14:textFill>
                  <w14:solidFill>
                    <w14:schemeClr w14:val="tx1"/>
                  </w14:solidFill>
                </w14:textFill>
              </w:rPr>
              <w:br w:type="textWrapping"/>
            </w:r>
            <w:r>
              <w:rPr>
                <w:rFonts w:hint="eastAsia" w:ascii="宋体" w:hAnsi="宋体" w:eastAsia="宋体" w:cs="宋体"/>
                <w:color w:val="000000" w:themeColor="text1"/>
                <w:kern w:val="0"/>
                <w:sz w:val="21"/>
                <w:szCs w:val="21"/>
                <w:lang w:bidi="ar"/>
                <w14:textFill>
                  <w14:solidFill>
                    <w14:schemeClr w14:val="tx1"/>
                  </w14:solidFill>
                </w14:textFill>
              </w:rPr>
              <w:t>2.路演礼仪及形象塑造</w:t>
            </w:r>
            <w:r>
              <w:rPr>
                <w:rFonts w:hint="eastAsia" w:ascii="宋体" w:hAnsi="宋体" w:eastAsia="宋体" w:cs="宋体"/>
                <w:color w:val="000000" w:themeColor="text1"/>
                <w:kern w:val="0"/>
                <w:sz w:val="21"/>
                <w:szCs w:val="21"/>
                <w:lang w:bidi="ar"/>
                <w14:textFill>
                  <w14:solidFill>
                    <w14:schemeClr w14:val="tx1"/>
                  </w14:solidFill>
                </w14:textFill>
              </w:rPr>
              <w:br w:type="textWrapping"/>
            </w:r>
            <w:r>
              <w:rPr>
                <w:rFonts w:hint="eastAsia" w:ascii="宋体" w:hAnsi="宋体" w:eastAsia="宋体" w:cs="宋体"/>
                <w:color w:val="000000" w:themeColor="text1"/>
                <w:kern w:val="0"/>
                <w:sz w:val="21"/>
                <w:szCs w:val="21"/>
                <w:lang w:bidi="ar"/>
                <w14:textFill>
                  <w14:solidFill>
                    <w14:schemeClr w14:val="tx1"/>
                  </w14:solidFill>
                </w14:textFill>
              </w:rPr>
              <w:t>3.专家提问环节应对策略</w:t>
            </w:r>
          </w:p>
        </w:tc>
        <w:tc>
          <w:tcPr>
            <w:tcW w:w="557" w:type="pct"/>
            <w:vMerge w:val="continue"/>
            <w:tcBorders>
              <w:left w:val="single" w:color="auto" w:sz="4" w:space="0"/>
              <w:bottom w:val="single" w:color="auto" w:sz="4" w:space="0"/>
              <w:right w:val="single" w:color="auto" w:sz="4" w:space="0"/>
            </w:tcBorders>
            <w:shd w:val="clear" w:color="auto" w:fill="auto"/>
            <w:noWrap/>
            <w:vAlign w:val="center"/>
          </w:tcPr>
          <w:p w14:paraId="743660D2">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c>
          <w:tcPr>
            <w:tcW w:w="464" w:type="pct"/>
            <w:vMerge w:val="continue"/>
            <w:tcBorders>
              <w:left w:val="single" w:color="auto" w:sz="4" w:space="0"/>
              <w:bottom w:val="single" w:color="auto" w:sz="4" w:space="0"/>
              <w:right w:val="single" w:color="auto" w:sz="4" w:space="0"/>
            </w:tcBorders>
            <w:shd w:val="clear" w:color="auto" w:fill="auto"/>
            <w:noWrap/>
            <w:vAlign w:val="center"/>
          </w:tcPr>
          <w:p w14:paraId="4DDD041E">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r>
      <w:tr w14:paraId="0A9B9353">
        <w:tblPrEx>
          <w:tblCellMar>
            <w:top w:w="0" w:type="dxa"/>
            <w:left w:w="108" w:type="dxa"/>
            <w:bottom w:w="0" w:type="dxa"/>
            <w:right w:w="108" w:type="dxa"/>
          </w:tblCellMar>
        </w:tblPrEx>
        <w:trPr>
          <w:trHeight w:val="754" w:hRule="atLeast"/>
          <w:jc w:val="center"/>
        </w:trPr>
        <w:tc>
          <w:tcPr>
            <w:tcW w:w="995" w:type="pct"/>
            <w:vMerge w:val="continue"/>
            <w:tcBorders>
              <w:left w:val="single" w:color="auto" w:sz="4" w:space="0"/>
              <w:right w:val="single" w:color="auto" w:sz="4" w:space="0"/>
            </w:tcBorders>
            <w:noWrap/>
            <w:vAlign w:val="center"/>
          </w:tcPr>
          <w:p w14:paraId="65306CCA">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c>
          <w:tcPr>
            <w:tcW w:w="2981" w:type="pct"/>
            <w:tcBorders>
              <w:top w:val="single" w:color="auto" w:sz="4" w:space="0"/>
              <w:left w:val="single" w:color="auto" w:sz="4" w:space="0"/>
              <w:bottom w:val="single" w:color="auto" w:sz="4" w:space="0"/>
              <w:right w:val="single" w:color="auto" w:sz="4" w:space="0"/>
            </w:tcBorders>
            <w:vAlign w:val="center"/>
          </w:tcPr>
          <w:p w14:paraId="626F55DB">
            <w:pPr>
              <w:widowControl/>
              <w:spacing w:line="288" w:lineRule="auto"/>
              <w:jc w:val="left"/>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求职简历：在PDF内容完善的基础上，邀请省赛级专家进行指导优化</w:t>
            </w:r>
          </w:p>
        </w:tc>
        <w:tc>
          <w:tcPr>
            <w:tcW w:w="557" w:type="pct"/>
            <w:vMerge w:val="restart"/>
            <w:tcBorders>
              <w:top w:val="single" w:color="auto" w:sz="4" w:space="0"/>
              <w:left w:val="single" w:color="auto" w:sz="4" w:space="0"/>
              <w:right w:val="single" w:color="auto" w:sz="4" w:space="0"/>
            </w:tcBorders>
            <w:shd w:val="clear" w:color="auto" w:fill="auto"/>
            <w:noWrap/>
            <w:vAlign w:val="center"/>
          </w:tcPr>
          <w:p w14:paraId="1A002AEC">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1</w:t>
            </w:r>
          </w:p>
        </w:tc>
        <w:tc>
          <w:tcPr>
            <w:tcW w:w="464" w:type="pct"/>
            <w:vMerge w:val="restart"/>
            <w:tcBorders>
              <w:top w:val="single" w:color="auto" w:sz="4" w:space="0"/>
              <w:left w:val="single" w:color="auto" w:sz="4" w:space="0"/>
              <w:right w:val="single" w:color="auto" w:sz="4" w:space="0"/>
            </w:tcBorders>
            <w:shd w:val="clear" w:color="auto" w:fill="auto"/>
            <w:noWrap/>
            <w:vAlign w:val="center"/>
          </w:tcPr>
          <w:p w14:paraId="0A1DEF58">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项</w:t>
            </w:r>
          </w:p>
        </w:tc>
      </w:tr>
      <w:tr w14:paraId="3BDA8A25">
        <w:tblPrEx>
          <w:tblCellMar>
            <w:top w:w="0" w:type="dxa"/>
            <w:left w:w="108" w:type="dxa"/>
            <w:bottom w:w="0" w:type="dxa"/>
            <w:right w:w="108" w:type="dxa"/>
          </w:tblCellMar>
        </w:tblPrEx>
        <w:trPr>
          <w:trHeight w:val="754" w:hRule="atLeast"/>
          <w:jc w:val="center"/>
        </w:trPr>
        <w:tc>
          <w:tcPr>
            <w:tcW w:w="995" w:type="pct"/>
            <w:vMerge w:val="continue"/>
            <w:tcBorders>
              <w:left w:val="single" w:color="auto" w:sz="4" w:space="0"/>
              <w:right w:val="single" w:color="auto" w:sz="4" w:space="0"/>
            </w:tcBorders>
            <w:noWrap/>
            <w:vAlign w:val="center"/>
          </w:tcPr>
          <w:p w14:paraId="26985FEE">
            <w:pPr>
              <w:widowControl/>
              <w:spacing w:line="288" w:lineRule="auto"/>
              <w:jc w:val="center"/>
              <w:textAlignment w:val="center"/>
              <w:rPr>
                <w:rFonts w:hint="eastAsia" w:ascii="宋体" w:hAnsi="宋体" w:eastAsia="宋体" w:cs="宋体"/>
                <w:kern w:val="0"/>
                <w:sz w:val="21"/>
                <w:szCs w:val="21"/>
                <w:lang w:bidi="ar"/>
              </w:rPr>
            </w:pPr>
          </w:p>
        </w:tc>
        <w:tc>
          <w:tcPr>
            <w:tcW w:w="2981" w:type="pct"/>
            <w:tcBorders>
              <w:top w:val="single" w:color="auto" w:sz="4" w:space="0"/>
              <w:left w:val="single" w:color="auto" w:sz="4" w:space="0"/>
              <w:bottom w:val="single" w:color="auto" w:sz="4" w:space="0"/>
              <w:right w:val="single" w:color="auto" w:sz="4" w:space="0"/>
            </w:tcBorders>
            <w:vAlign w:val="center"/>
          </w:tcPr>
          <w:p w14:paraId="58F4338F">
            <w:pPr>
              <w:widowControl/>
              <w:spacing w:line="288" w:lineRule="auto"/>
              <w:jc w:val="left"/>
              <w:textAlignment w:val="center"/>
              <w:rPr>
                <w:rFonts w:hint="eastAsia" w:ascii="宋体" w:hAnsi="宋体" w:eastAsia="宋体" w:cs="宋体"/>
                <w:kern w:val="0"/>
                <w:sz w:val="21"/>
                <w:szCs w:val="21"/>
                <w:lang w:bidi="ar"/>
              </w:rPr>
            </w:pPr>
            <w:r>
              <w:rPr>
                <w:rFonts w:hint="eastAsia" w:ascii="宋体" w:hAnsi="宋体" w:eastAsia="宋体" w:cs="宋体"/>
                <w:color w:val="000000"/>
                <w:kern w:val="0"/>
                <w:sz w:val="21"/>
                <w:szCs w:val="21"/>
                <w:lang w:bidi="ar"/>
              </w:rPr>
              <w:t>就业能力展示PPT：在PPT内容完善的基础上，不改变原有内容进行字体、排版等美化指导</w:t>
            </w:r>
          </w:p>
        </w:tc>
        <w:tc>
          <w:tcPr>
            <w:tcW w:w="557" w:type="pct"/>
            <w:vMerge w:val="continue"/>
            <w:tcBorders>
              <w:left w:val="single" w:color="auto" w:sz="4" w:space="0"/>
              <w:right w:val="single" w:color="auto" w:sz="4" w:space="0"/>
            </w:tcBorders>
            <w:shd w:val="clear" w:color="auto" w:fill="auto"/>
            <w:noWrap/>
            <w:vAlign w:val="center"/>
          </w:tcPr>
          <w:p w14:paraId="255EE130">
            <w:pPr>
              <w:widowControl/>
              <w:spacing w:line="288" w:lineRule="auto"/>
              <w:jc w:val="center"/>
              <w:textAlignment w:val="center"/>
              <w:rPr>
                <w:rFonts w:hint="eastAsia" w:ascii="宋体" w:hAnsi="宋体" w:eastAsia="宋体" w:cs="宋体"/>
                <w:kern w:val="0"/>
                <w:sz w:val="21"/>
                <w:szCs w:val="21"/>
                <w:lang w:bidi="ar"/>
              </w:rPr>
            </w:pPr>
          </w:p>
        </w:tc>
        <w:tc>
          <w:tcPr>
            <w:tcW w:w="464" w:type="pct"/>
            <w:vMerge w:val="continue"/>
            <w:tcBorders>
              <w:left w:val="single" w:color="auto" w:sz="4" w:space="0"/>
              <w:right w:val="single" w:color="auto" w:sz="4" w:space="0"/>
            </w:tcBorders>
            <w:shd w:val="clear" w:color="auto" w:fill="auto"/>
            <w:noWrap/>
            <w:vAlign w:val="center"/>
          </w:tcPr>
          <w:p w14:paraId="1F24B6CD">
            <w:pPr>
              <w:widowControl/>
              <w:spacing w:line="288" w:lineRule="auto"/>
              <w:jc w:val="center"/>
              <w:textAlignment w:val="center"/>
              <w:rPr>
                <w:rFonts w:hint="eastAsia" w:ascii="宋体" w:hAnsi="宋体" w:eastAsia="宋体" w:cs="宋体"/>
                <w:kern w:val="0"/>
                <w:sz w:val="21"/>
                <w:szCs w:val="21"/>
                <w:lang w:bidi="ar"/>
              </w:rPr>
            </w:pPr>
          </w:p>
        </w:tc>
      </w:tr>
      <w:tr w14:paraId="4FD48F89">
        <w:tblPrEx>
          <w:tblCellMar>
            <w:top w:w="0" w:type="dxa"/>
            <w:left w:w="108" w:type="dxa"/>
            <w:bottom w:w="0" w:type="dxa"/>
            <w:right w:w="108" w:type="dxa"/>
          </w:tblCellMar>
        </w:tblPrEx>
        <w:trPr>
          <w:trHeight w:val="1499" w:hRule="atLeast"/>
          <w:jc w:val="center"/>
        </w:trPr>
        <w:tc>
          <w:tcPr>
            <w:tcW w:w="995" w:type="pct"/>
            <w:vMerge w:val="continue"/>
            <w:tcBorders>
              <w:left w:val="single" w:color="auto" w:sz="4" w:space="0"/>
              <w:bottom w:val="single" w:color="auto" w:sz="4" w:space="0"/>
              <w:right w:val="single" w:color="auto" w:sz="4" w:space="0"/>
            </w:tcBorders>
            <w:noWrap/>
            <w:vAlign w:val="center"/>
          </w:tcPr>
          <w:p w14:paraId="2861D055">
            <w:pPr>
              <w:widowControl/>
              <w:spacing w:line="288" w:lineRule="auto"/>
              <w:jc w:val="center"/>
              <w:textAlignment w:val="center"/>
              <w:rPr>
                <w:rFonts w:hint="eastAsia" w:ascii="宋体" w:hAnsi="宋体" w:eastAsia="宋体" w:cs="宋体"/>
                <w:kern w:val="0"/>
                <w:sz w:val="21"/>
                <w:szCs w:val="21"/>
                <w:lang w:bidi="ar"/>
              </w:rPr>
            </w:pPr>
          </w:p>
        </w:tc>
        <w:tc>
          <w:tcPr>
            <w:tcW w:w="2981" w:type="pct"/>
            <w:tcBorders>
              <w:top w:val="single" w:color="auto" w:sz="4" w:space="0"/>
              <w:left w:val="single" w:color="auto" w:sz="4" w:space="0"/>
              <w:bottom w:val="single" w:color="auto" w:sz="4" w:space="0"/>
              <w:right w:val="single" w:color="auto" w:sz="4" w:space="0"/>
            </w:tcBorders>
            <w:vAlign w:val="center"/>
          </w:tcPr>
          <w:p w14:paraId="2DE3ABF7">
            <w:pPr>
              <w:widowControl/>
              <w:spacing w:line="288" w:lineRule="auto"/>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路演指导：</w:t>
            </w:r>
          </w:p>
          <w:p w14:paraId="76C21FD5">
            <w:pPr>
              <w:widowControl/>
              <w:spacing w:line="288" w:lineRule="auto"/>
              <w:jc w:val="left"/>
              <w:textAlignment w:val="center"/>
              <w:rPr>
                <w:rFonts w:hint="eastAsia" w:ascii="宋体" w:hAnsi="宋体" w:eastAsia="宋体" w:cs="宋体"/>
                <w:kern w:val="0"/>
                <w:sz w:val="21"/>
                <w:szCs w:val="21"/>
                <w:lang w:bidi="ar"/>
              </w:rPr>
            </w:pPr>
            <w:r>
              <w:rPr>
                <w:rFonts w:hint="eastAsia" w:ascii="宋体" w:hAnsi="宋体" w:eastAsia="宋体" w:cs="宋体"/>
                <w:color w:val="000000"/>
                <w:kern w:val="0"/>
                <w:sz w:val="21"/>
                <w:szCs w:val="21"/>
                <w:lang w:bidi="ar"/>
              </w:rPr>
              <w:t>1.演讲的逻辑要点</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2.路演礼仪及形象塑造</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3.专家提问环节应对策略</w:t>
            </w:r>
          </w:p>
        </w:tc>
        <w:tc>
          <w:tcPr>
            <w:tcW w:w="557" w:type="pct"/>
            <w:vMerge w:val="continue"/>
            <w:tcBorders>
              <w:left w:val="single" w:color="auto" w:sz="4" w:space="0"/>
              <w:bottom w:val="single" w:color="auto" w:sz="4" w:space="0"/>
              <w:right w:val="single" w:color="auto" w:sz="4" w:space="0"/>
            </w:tcBorders>
            <w:shd w:val="clear" w:color="auto" w:fill="auto"/>
            <w:noWrap/>
            <w:vAlign w:val="center"/>
          </w:tcPr>
          <w:p w14:paraId="3C2E5641">
            <w:pPr>
              <w:widowControl/>
              <w:spacing w:line="288" w:lineRule="auto"/>
              <w:jc w:val="center"/>
              <w:textAlignment w:val="center"/>
              <w:rPr>
                <w:rFonts w:hint="eastAsia" w:ascii="宋体" w:hAnsi="宋体" w:eastAsia="宋体" w:cs="宋体"/>
                <w:kern w:val="0"/>
                <w:sz w:val="21"/>
                <w:szCs w:val="21"/>
                <w:lang w:bidi="ar"/>
              </w:rPr>
            </w:pPr>
          </w:p>
        </w:tc>
        <w:tc>
          <w:tcPr>
            <w:tcW w:w="464" w:type="pct"/>
            <w:vMerge w:val="continue"/>
            <w:tcBorders>
              <w:left w:val="single" w:color="auto" w:sz="4" w:space="0"/>
              <w:bottom w:val="single" w:color="auto" w:sz="4" w:space="0"/>
              <w:right w:val="single" w:color="auto" w:sz="4" w:space="0"/>
            </w:tcBorders>
            <w:shd w:val="clear" w:color="auto" w:fill="auto"/>
            <w:noWrap/>
            <w:vAlign w:val="center"/>
          </w:tcPr>
          <w:p w14:paraId="38CE3891">
            <w:pPr>
              <w:widowControl/>
              <w:spacing w:line="288" w:lineRule="auto"/>
              <w:jc w:val="center"/>
              <w:textAlignment w:val="center"/>
              <w:rPr>
                <w:rFonts w:hint="eastAsia" w:ascii="宋体" w:hAnsi="宋体" w:eastAsia="宋体" w:cs="宋体"/>
                <w:kern w:val="0"/>
                <w:sz w:val="21"/>
                <w:szCs w:val="21"/>
                <w:lang w:bidi="ar"/>
              </w:rPr>
            </w:pPr>
          </w:p>
        </w:tc>
      </w:tr>
      <w:tr w14:paraId="33B005A2">
        <w:tblPrEx>
          <w:tblCellMar>
            <w:top w:w="0" w:type="dxa"/>
            <w:left w:w="108" w:type="dxa"/>
            <w:bottom w:w="0" w:type="dxa"/>
            <w:right w:w="108" w:type="dxa"/>
          </w:tblCellMar>
        </w:tblPrEx>
        <w:trPr>
          <w:trHeight w:val="764" w:hRule="atLeast"/>
          <w:jc w:val="center"/>
        </w:trPr>
        <w:tc>
          <w:tcPr>
            <w:tcW w:w="995" w:type="pct"/>
            <w:tcBorders>
              <w:top w:val="single" w:color="auto" w:sz="4" w:space="0"/>
              <w:left w:val="single" w:color="auto" w:sz="4" w:space="0"/>
              <w:bottom w:val="single" w:color="auto" w:sz="4" w:space="0"/>
              <w:right w:val="single" w:color="auto" w:sz="4" w:space="0"/>
            </w:tcBorders>
            <w:noWrap/>
            <w:vAlign w:val="center"/>
          </w:tcPr>
          <w:p w14:paraId="1E219207">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PPT设计、美化制作费用</w:t>
            </w:r>
          </w:p>
        </w:tc>
        <w:tc>
          <w:tcPr>
            <w:tcW w:w="2981" w:type="pct"/>
            <w:tcBorders>
              <w:top w:val="single" w:color="auto" w:sz="4" w:space="0"/>
              <w:left w:val="single" w:color="auto" w:sz="4" w:space="0"/>
              <w:bottom w:val="single" w:color="auto" w:sz="4" w:space="0"/>
              <w:right w:val="single" w:color="auto" w:sz="4" w:space="0"/>
            </w:tcBorders>
            <w:vAlign w:val="center"/>
          </w:tcPr>
          <w:p w14:paraId="0FB27A33">
            <w:pPr>
              <w:widowControl/>
              <w:spacing w:line="288" w:lineRule="auto"/>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晋级省赛复赛、决赛项目PPT设计、美化制作</w:t>
            </w:r>
          </w:p>
          <w:p w14:paraId="6F608704">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D0017C">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6484BA">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项</w:t>
            </w:r>
          </w:p>
        </w:tc>
      </w:tr>
    </w:tbl>
    <w:p w14:paraId="1F68B1E0">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付款结算：</w:t>
      </w:r>
    </w:p>
    <w:p w14:paraId="1F962A1B">
      <w:pPr>
        <w:numPr>
          <w:ilvl w:val="255"/>
          <w:numId w:val="0"/>
        </w:numPr>
        <w:spacing w:line="360" w:lineRule="auto"/>
        <w:ind w:firstLine="560" w:firstLineChars="200"/>
        <w:jc w:val="left"/>
        <w:rPr>
          <w:rFonts w:hint="eastAsia" w:ascii="宋体" w:hAnsi="宋体" w:cs="宋体"/>
          <w:b/>
          <w:bCs/>
          <w:sz w:val="28"/>
          <w:szCs w:val="28"/>
        </w:rPr>
      </w:pPr>
      <w:r>
        <w:rPr>
          <w:rFonts w:hint="eastAsia" w:ascii="宋体" w:hAnsi="宋体" w:cs="宋体"/>
          <w:sz w:val="28"/>
          <w:szCs w:val="28"/>
        </w:rPr>
        <w:t>项目服务完成后，经采购人和中标供应商双方确认服务验收合格后，中标人提交付款申请并提供相应金额的正式发票后，采购人在20个工作日内一次性支付合同金额的100%。</w:t>
      </w:r>
    </w:p>
    <w:p w14:paraId="47F33B60">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其他要求</w:t>
      </w:r>
    </w:p>
    <w:p w14:paraId="6506E770">
      <w:pPr>
        <w:numPr>
          <w:ilvl w:val="255"/>
          <w:numId w:val="0"/>
        </w:num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从职业规划辅导项目培训、项目材料优化2个层面推进赛事孵化，需要有经验、有实力的服务单位提供专业化服务。</w:t>
      </w:r>
    </w:p>
    <w:p w14:paraId="278C24DF">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评审规则</w:t>
      </w:r>
    </w:p>
    <w:p w14:paraId="7182F846">
      <w:pPr>
        <w:spacing w:line="360" w:lineRule="auto"/>
        <w:ind w:firstLine="560" w:firstLineChars="200"/>
        <w:rPr>
          <w:rFonts w:hint="eastAsia"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14D1B659">
      <w:p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12A7E90E">
      <w:p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0386DBE0">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报价文件内容</w:t>
      </w:r>
    </w:p>
    <w:p w14:paraId="34128AE3">
      <w:pPr>
        <w:numPr>
          <w:ilvl w:val="0"/>
          <w:numId w:val="4"/>
        </w:num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按要求提交加盖报价供应商公章的《报价一览表》（附件1）。</w:t>
      </w:r>
    </w:p>
    <w:p w14:paraId="763948B1">
      <w:pPr>
        <w:numPr>
          <w:ilvl w:val="0"/>
          <w:numId w:val="4"/>
        </w:num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按要求提交加盖报价供应商公章的《报价明细表》（附件2）。</w:t>
      </w:r>
    </w:p>
    <w:p w14:paraId="798A4075">
      <w:pPr>
        <w:pStyle w:val="3"/>
        <w:numPr>
          <w:ilvl w:val="0"/>
          <w:numId w:val="4"/>
        </w:numPr>
        <w:spacing w:before="0" w:after="0" w:line="360" w:lineRule="auto"/>
        <w:ind w:firstLine="560" w:firstLineChars="200"/>
        <w:rPr>
          <w:rFonts w:hint="eastAsia" w:ascii="宋体" w:hAnsi="宋体" w:cs="宋体"/>
          <w:b w:val="0"/>
          <w:szCs w:val="28"/>
        </w:rPr>
      </w:pPr>
      <w:r>
        <w:rPr>
          <w:rFonts w:hint="eastAsia" w:ascii="宋体" w:hAnsi="宋体" w:cs="宋体"/>
          <w:b w:val="0"/>
          <w:szCs w:val="28"/>
        </w:rPr>
        <w:t>按要求提交加盖报价供应商公章的《</w:t>
      </w:r>
      <w:r>
        <w:rPr>
          <w:rFonts w:hint="eastAsia" w:ascii="宋体" w:hAnsi="宋体" w:cs="宋体"/>
          <w:b w:val="0"/>
          <w:bCs/>
          <w:szCs w:val="28"/>
        </w:rPr>
        <w:t>承诺书</w:t>
      </w:r>
      <w:r>
        <w:rPr>
          <w:rFonts w:hint="eastAsia" w:ascii="宋体" w:hAnsi="宋体" w:cs="宋体"/>
          <w:b w:val="0"/>
          <w:szCs w:val="28"/>
        </w:rPr>
        <w:t>》（附件3）。</w:t>
      </w:r>
    </w:p>
    <w:p w14:paraId="30F34156">
      <w:pPr>
        <w:numPr>
          <w:ilvl w:val="0"/>
          <w:numId w:val="4"/>
        </w:num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2E25739D">
      <w:pPr>
        <w:numPr>
          <w:ilvl w:val="0"/>
          <w:numId w:val="4"/>
        </w:numPr>
        <w:spacing w:line="360" w:lineRule="auto"/>
        <w:ind w:firstLine="560" w:firstLineChars="200"/>
        <w:jc w:val="left"/>
        <w:rPr>
          <w:rFonts w:hint="eastAsia" w:ascii="宋体" w:hAnsi="宋体" w:cs="宋体"/>
          <w:sz w:val="28"/>
          <w:szCs w:val="28"/>
        </w:rPr>
      </w:pPr>
      <w:r>
        <w:rPr>
          <w:rFonts w:hint="eastAsia" w:ascii="宋体" w:hAnsi="宋体" w:cs="宋体"/>
          <w:b w:val="0"/>
          <w:bCs w:val="0"/>
          <w:sz w:val="28"/>
          <w:szCs w:val="28"/>
          <w:lang w:val="en-US" w:eastAsia="zh-CN"/>
        </w:rPr>
        <w:t>提交加盖报价供应商公章的广东省教育部门“小零易购”电字采购系统资质截图。</w:t>
      </w:r>
    </w:p>
    <w:p w14:paraId="05B98D6F">
      <w:pPr>
        <w:numPr>
          <w:ilvl w:val="0"/>
          <w:numId w:val="4"/>
        </w:numPr>
        <w:spacing w:line="360" w:lineRule="auto"/>
        <w:ind w:firstLine="560" w:firstLineChars="200"/>
        <w:jc w:val="left"/>
        <w:rPr>
          <w:rFonts w:hint="eastAsia" w:ascii="宋体" w:hAnsi="宋体" w:cs="宋体"/>
          <w:sz w:val="28"/>
          <w:szCs w:val="28"/>
        </w:rPr>
      </w:pPr>
      <w:r>
        <w:rPr>
          <w:rFonts w:hint="eastAsia" w:ascii="宋体" w:hAnsi="宋体" w:cs="宋体"/>
          <w:b w:val="0"/>
          <w:bCs w:val="0"/>
          <w:sz w:val="28"/>
          <w:szCs w:val="28"/>
        </w:rPr>
        <w:t>供应商所递交的报价文件须密封完好，并且在封面填写项目名称；采购人拒收没有密封完好的报价文件</w:t>
      </w:r>
      <w:r>
        <w:rPr>
          <w:rFonts w:hint="eastAsia" w:ascii="宋体" w:hAnsi="宋体" w:cs="宋体"/>
          <w:b w:val="0"/>
          <w:bCs w:val="0"/>
          <w:sz w:val="28"/>
          <w:szCs w:val="28"/>
          <w:lang w:eastAsia="zh-CN"/>
        </w:rPr>
        <w:t>。</w:t>
      </w:r>
    </w:p>
    <w:p w14:paraId="355F10AA">
      <w:pPr>
        <w:numPr>
          <w:ilvl w:val="0"/>
          <w:numId w:val="4"/>
        </w:numPr>
        <w:spacing w:line="360" w:lineRule="auto"/>
        <w:ind w:firstLine="482" w:firstLineChars="200"/>
        <w:jc w:val="left"/>
        <w:rPr>
          <w:rFonts w:hint="eastAsia" w:ascii="宋体" w:hAnsi="宋体" w:cs="宋体"/>
          <w:b/>
          <w:sz w:val="24"/>
        </w:rPr>
      </w:pPr>
      <w:r>
        <w:rPr>
          <w:rFonts w:hint="eastAsia" w:ascii="宋体" w:hAnsi="宋体" w:cs="宋体"/>
          <w:b/>
          <w:sz w:val="24"/>
        </w:rPr>
        <w:br w:type="page"/>
      </w:r>
    </w:p>
    <w:p w14:paraId="6478A4FC">
      <w:pPr>
        <w:tabs>
          <w:tab w:val="left" w:pos="8100"/>
        </w:tabs>
        <w:adjustRightInd w:val="0"/>
        <w:snapToGrid w:val="0"/>
        <w:spacing w:line="348" w:lineRule="auto"/>
        <w:rPr>
          <w:rFonts w:hint="eastAsia" w:ascii="宋体" w:hAnsi="宋体" w:cs="宋体"/>
          <w:b/>
          <w:sz w:val="24"/>
        </w:rPr>
      </w:pPr>
      <w:r>
        <w:rPr>
          <w:rFonts w:hint="eastAsia" w:ascii="宋体" w:hAnsi="宋体" w:cs="宋体"/>
          <w:b/>
          <w:sz w:val="24"/>
        </w:rPr>
        <w:t>附件1</w:t>
      </w:r>
    </w:p>
    <w:p w14:paraId="5E68B546">
      <w:pPr>
        <w:tabs>
          <w:tab w:val="left" w:pos="8100"/>
        </w:tabs>
        <w:adjustRightInd w:val="0"/>
        <w:snapToGrid w:val="0"/>
        <w:spacing w:line="348" w:lineRule="auto"/>
        <w:rPr>
          <w:rFonts w:hint="eastAsia" w:ascii="宋体" w:hAnsi="宋体" w:cs="宋体"/>
          <w:b/>
          <w:sz w:val="24"/>
        </w:rPr>
      </w:pPr>
    </w:p>
    <w:p w14:paraId="6E5DA3DD">
      <w:pPr>
        <w:pStyle w:val="3"/>
        <w:spacing w:before="0" w:after="0" w:line="400" w:lineRule="exact"/>
        <w:jc w:val="center"/>
        <w:rPr>
          <w:rFonts w:hint="eastAsia" w:ascii="宋体" w:hAnsi="宋体" w:cs="宋体"/>
          <w:szCs w:val="28"/>
        </w:rPr>
      </w:pPr>
      <w:r>
        <w:rPr>
          <w:rFonts w:hint="eastAsia" w:ascii="宋体" w:hAnsi="宋体" w:cs="宋体"/>
          <w:szCs w:val="28"/>
        </w:rPr>
        <w:t xml:space="preserve"> 报价一览表  </w:t>
      </w:r>
    </w:p>
    <w:p w14:paraId="626D90D7">
      <w:pPr>
        <w:pStyle w:val="3"/>
        <w:spacing w:before="0" w:after="0" w:line="400" w:lineRule="exact"/>
        <w:ind w:right="480"/>
        <w:jc w:val="right"/>
        <w:rPr>
          <w:rFonts w:hint="eastAsia" w:ascii="宋体" w:hAnsi="宋体" w:cs="宋体"/>
          <w:b w:val="0"/>
          <w:sz w:val="24"/>
          <w:szCs w:val="24"/>
        </w:rPr>
      </w:pPr>
      <w:r>
        <w:rPr>
          <w:rFonts w:hint="eastAsia" w:ascii="宋体" w:hAnsi="宋体" w:cs="宋体"/>
          <w:b w:val="0"/>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3E515DB3">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4D27CFFE">
            <w:pPr>
              <w:autoSpaceDE w:val="0"/>
              <w:autoSpaceDN w:val="0"/>
              <w:adjustRightInd w:val="0"/>
              <w:spacing w:line="480" w:lineRule="exact"/>
              <w:jc w:val="center"/>
              <w:rPr>
                <w:rFonts w:hint="eastAsia"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6CBAB499">
            <w:pPr>
              <w:autoSpaceDE w:val="0"/>
              <w:autoSpaceDN w:val="0"/>
              <w:adjustRightInd w:val="0"/>
              <w:spacing w:line="480" w:lineRule="exact"/>
              <w:jc w:val="center"/>
              <w:rPr>
                <w:rFonts w:hint="eastAsia" w:ascii="宋体" w:hAnsi="宋体"/>
                <w:sz w:val="24"/>
              </w:rPr>
            </w:pPr>
            <w:r>
              <w:rPr>
                <w:rFonts w:hint="eastAsia" w:ascii="宋体" w:hAnsi="宋体"/>
                <w:sz w:val="24"/>
              </w:rPr>
              <w:t>广东生态工程职业学院第二届全国大学生职业规划大赛省复赛、决赛阶段培育优化服务项目</w:t>
            </w:r>
          </w:p>
        </w:tc>
      </w:tr>
      <w:tr w14:paraId="637E5948">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54F33212">
            <w:pPr>
              <w:autoSpaceDE w:val="0"/>
              <w:autoSpaceDN w:val="0"/>
              <w:adjustRightInd w:val="0"/>
              <w:spacing w:line="480" w:lineRule="exact"/>
              <w:jc w:val="center"/>
              <w:rPr>
                <w:rFonts w:hint="eastAsia"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8268F5A">
            <w:pPr>
              <w:autoSpaceDE w:val="0"/>
              <w:autoSpaceDN w:val="0"/>
              <w:adjustRightInd w:val="0"/>
              <w:spacing w:line="480" w:lineRule="exact"/>
              <w:ind w:firstLine="723" w:firstLineChars="300"/>
              <w:rPr>
                <w:rFonts w:hint="eastAsia" w:ascii="宋体" w:hAnsi="宋体"/>
                <w:b/>
                <w:sz w:val="24"/>
                <w:u w:val="single"/>
              </w:rPr>
            </w:pPr>
            <w:r>
              <w:rPr>
                <w:rFonts w:hint="eastAsia" w:ascii="宋体" w:hAnsi="宋体"/>
                <w:b/>
                <w:sz w:val="24"/>
                <w:u w:val="single"/>
              </w:rPr>
              <w:t xml:space="preserve">￥                                    </w:t>
            </w:r>
          </w:p>
        </w:tc>
      </w:tr>
      <w:tr w14:paraId="3403429B">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0D015216">
            <w:pPr>
              <w:autoSpaceDE w:val="0"/>
              <w:autoSpaceDN w:val="0"/>
              <w:adjustRightInd w:val="0"/>
              <w:spacing w:line="480" w:lineRule="exact"/>
              <w:jc w:val="center"/>
              <w:rPr>
                <w:rFonts w:hint="eastAsia" w:ascii="宋体" w:hAnsi="宋体"/>
                <w:b/>
                <w:sz w:val="24"/>
              </w:rPr>
            </w:pPr>
          </w:p>
        </w:tc>
        <w:tc>
          <w:tcPr>
            <w:tcW w:w="6799" w:type="dxa"/>
            <w:tcBorders>
              <w:top w:val="single" w:color="auto" w:sz="4" w:space="0"/>
              <w:left w:val="single" w:color="auto" w:sz="6" w:space="0"/>
              <w:right w:val="single" w:color="auto" w:sz="6" w:space="0"/>
            </w:tcBorders>
            <w:vAlign w:val="center"/>
          </w:tcPr>
          <w:p w14:paraId="1CA258C2">
            <w:pPr>
              <w:autoSpaceDE w:val="0"/>
              <w:autoSpaceDN w:val="0"/>
              <w:adjustRightInd w:val="0"/>
              <w:spacing w:line="480" w:lineRule="exact"/>
              <w:ind w:firstLine="482" w:firstLineChars="200"/>
              <w:rPr>
                <w:rFonts w:hint="eastAsia"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77E18EE4">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32320DB5">
            <w:pPr>
              <w:autoSpaceDE w:val="0"/>
              <w:autoSpaceDN w:val="0"/>
              <w:adjustRightInd w:val="0"/>
              <w:spacing w:line="480" w:lineRule="exact"/>
              <w:jc w:val="center"/>
              <w:rPr>
                <w:rFonts w:hint="eastAsia"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7E3AEB8B">
            <w:pPr>
              <w:autoSpaceDE w:val="0"/>
              <w:autoSpaceDN w:val="0"/>
              <w:adjustRightInd w:val="0"/>
              <w:spacing w:line="480" w:lineRule="exact"/>
              <w:jc w:val="center"/>
              <w:rPr>
                <w:rFonts w:hint="eastAsia" w:ascii="宋体" w:hAnsi="宋体"/>
                <w:sz w:val="24"/>
              </w:rPr>
            </w:pPr>
          </w:p>
        </w:tc>
      </w:tr>
    </w:tbl>
    <w:p w14:paraId="241E4A42">
      <w:pPr>
        <w:pStyle w:val="5"/>
        <w:spacing w:line="480" w:lineRule="exact"/>
        <w:ind w:firstLine="100" w:firstLineChars="50"/>
        <w:rPr>
          <w:rFonts w:hint="eastAsia" w:hAnsi="宋体"/>
        </w:rPr>
      </w:pPr>
      <w:r>
        <w:rPr>
          <w:rFonts w:hint="eastAsia" w:hAnsi="宋体"/>
        </w:rPr>
        <w:t>注：</w:t>
      </w:r>
    </w:p>
    <w:p w14:paraId="2477108B">
      <w:pPr>
        <w:pStyle w:val="5"/>
        <w:numPr>
          <w:ilvl w:val="0"/>
          <w:numId w:val="5"/>
        </w:numPr>
        <w:spacing w:line="0" w:lineRule="atLeast"/>
        <w:rPr>
          <w:rFonts w:hint="eastAsia" w:hAnsi="宋体"/>
        </w:rPr>
      </w:pPr>
      <w:r>
        <w:rPr>
          <w:rFonts w:hint="eastAsia" w:hAnsi="宋体"/>
        </w:rPr>
        <w:t>本表报价包含完成本项目应预见和不可预见的一切含税费用。</w:t>
      </w:r>
    </w:p>
    <w:p w14:paraId="7AC0E81B">
      <w:pPr>
        <w:pStyle w:val="5"/>
        <w:numPr>
          <w:ilvl w:val="0"/>
          <w:numId w:val="5"/>
        </w:numPr>
        <w:spacing w:line="0" w:lineRule="atLeast"/>
        <w:rPr>
          <w:rFonts w:hint="eastAsia" w:hAnsi="宋体"/>
        </w:rPr>
      </w:pPr>
      <w:r>
        <w:rPr>
          <w:rFonts w:hint="eastAsia"/>
        </w:rPr>
        <w:t>填写此表时不得改变表格的形式。</w:t>
      </w:r>
    </w:p>
    <w:p w14:paraId="1FB20846">
      <w:pPr>
        <w:pStyle w:val="5"/>
        <w:numPr>
          <w:ilvl w:val="0"/>
          <w:numId w:val="5"/>
        </w:numPr>
        <w:spacing w:line="0" w:lineRule="atLeast"/>
        <w:rPr>
          <w:rFonts w:hint="eastAsia" w:hAnsi="宋体"/>
        </w:rPr>
      </w:pPr>
      <w:r>
        <w:rPr>
          <w:rFonts w:hint="eastAsia"/>
        </w:rPr>
        <w:t>以上表中内容必须计算机录入、填写、打印。手写按无效报价处理。</w:t>
      </w:r>
    </w:p>
    <w:p w14:paraId="06E68E8D">
      <w:pPr>
        <w:pStyle w:val="5"/>
        <w:numPr>
          <w:ilvl w:val="0"/>
          <w:numId w:val="5"/>
        </w:numPr>
        <w:spacing w:line="0" w:lineRule="atLeast"/>
      </w:pPr>
      <w:r>
        <w:rPr>
          <w:rFonts w:hint="eastAsia"/>
        </w:rPr>
        <w:t>必须满足服务内容、质保期等服务要求。</w:t>
      </w:r>
    </w:p>
    <w:p w14:paraId="270DC4AD">
      <w:pPr>
        <w:pStyle w:val="5"/>
        <w:spacing w:line="0" w:lineRule="atLeast"/>
        <w:ind w:left="336"/>
        <w:rPr>
          <w:rFonts w:hint="eastAsia" w:hAnsi="宋体"/>
          <w:color w:val="FF0000"/>
        </w:rPr>
      </w:pPr>
    </w:p>
    <w:p w14:paraId="038BCA18"/>
    <w:p w14:paraId="6CCCEC11"/>
    <w:p w14:paraId="00B225D0">
      <w:pPr>
        <w:spacing w:line="480" w:lineRule="exact"/>
        <w:ind w:left="4599" w:leftChars="2190" w:firstLine="240" w:firstLineChars="100"/>
        <w:rPr>
          <w:rFonts w:hint="eastAsia" w:ascii="宋体" w:hAnsi="宋体" w:cs="宋体"/>
          <w:sz w:val="24"/>
        </w:rPr>
      </w:pPr>
    </w:p>
    <w:p w14:paraId="442D9046">
      <w:pPr>
        <w:spacing w:line="480" w:lineRule="exact"/>
        <w:ind w:firstLine="4560" w:firstLineChars="1900"/>
        <w:rPr>
          <w:rFonts w:hint="eastAsia" w:ascii="宋体" w:hAnsi="宋体" w:cs="宋体"/>
          <w:sz w:val="24"/>
        </w:rPr>
      </w:pPr>
      <w:r>
        <w:rPr>
          <w:rFonts w:hint="eastAsia" w:ascii="宋体" w:hAnsi="宋体" w:cs="宋体"/>
          <w:sz w:val="24"/>
        </w:rPr>
        <w:t>投标人（公章）：</w:t>
      </w:r>
    </w:p>
    <w:p w14:paraId="6AA87A53">
      <w:pPr>
        <w:spacing w:line="480" w:lineRule="exact"/>
        <w:ind w:firstLine="4560" w:firstLineChars="1900"/>
        <w:rPr>
          <w:rFonts w:hint="eastAsia" w:ascii="宋体" w:hAnsi="宋体" w:cs="宋体"/>
          <w:sz w:val="24"/>
        </w:rPr>
      </w:pPr>
      <w:r>
        <w:rPr>
          <w:rFonts w:hint="eastAsia" w:ascii="宋体" w:hAnsi="宋体" w:cs="宋体"/>
          <w:sz w:val="24"/>
        </w:rPr>
        <w:t>投标人地址：</w:t>
      </w:r>
    </w:p>
    <w:p w14:paraId="565DCD1B">
      <w:pPr>
        <w:spacing w:line="480" w:lineRule="exact"/>
        <w:ind w:left="4549" w:leftChars="2166"/>
        <w:rPr>
          <w:rFonts w:hint="eastAsia" w:ascii="宋体" w:hAnsi="宋体" w:cs="宋体"/>
          <w:sz w:val="24"/>
        </w:rPr>
      </w:pPr>
      <w:r>
        <w:rPr>
          <w:rFonts w:hint="eastAsia" w:ascii="宋体" w:hAnsi="宋体" w:cs="宋体"/>
          <w:sz w:val="24"/>
        </w:rPr>
        <w:t>法定代表人或代理人姓名（手写签名）：</w:t>
      </w:r>
    </w:p>
    <w:p w14:paraId="5974B83E">
      <w:pPr>
        <w:spacing w:line="480" w:lineRule="exact"/>
        <w:ind w:firstLine="480" w:firstLineChars="200"/>
        <w:rPr>
          <w:rFonts w:hint="eastAsia" w:ascii="宋体" w:hAnsi="宋体" w:cs="宋体"/>
          <w:sz w:val="24"/>
        </w:rPr>
      </w:pPr>
      <w:r>
        <w:rPr>
          <w:rFonts w:hint="eastAsia" w:ascii="宋体" w:hAnsi="宋体" w:cs="宋体"/>
          <w:sz w:val="24"/>
        </w:rPr>
        <w:t xml:space="preserve">                                  身份证号码：</w:t>
      </w:r>
    </w:p>
    <w:p w14:paraId="0F934B9C">
      <w:pPr>
        <w:spacing w:line="480" w:lineRule="exact"/>
        <w:ind w:firstLine="4560" w:firstLineChars="1900"/>
        <w:rPr>
          <w:rFonts w:hint="eastAsia" w:ascii="宋体" w:hAnsi="宋体" w:cs="宋体"/>
          <w:sz w:val="24"/>
        </w:rPr>
      </w:pPr>
      <w:r>
        <w:rPr>
          <w:rFonts w:hint="eastAsia" w:ascii="宋体" w:hAnsi="宋体" w:cs="宋体"/>
          <w:sz w:val="24"/>
        </w:rPr>
        <w:t>联系电话：</w:t>
      </w:r>
    </w:p>
    <w:p w14:paraId="7327A0B4">
      <w:pPr>
        <w:spacing w:line="480" w:lineRule="exact"/>
        <w:ind w:firstLine="4560" w:firstLineChars="1900"/>
        <w:rPr>
          <w:rFonts w:hint="eastAsia" w:ascii="宋体" w:hAnsi="宋体" w:cs="宋体"/>
          <w:sz w:val="24"/>
        </w:rPr>
      </w:pPr>
      <w:r>
        <w:rPr>
          <w:rFonts w:hint="eastAsia" w:ascii="宋体" w:hAnsi="宋体" w:cs="宋体"/>
          <w:sz w:val="24"/>
        </w:rPr>
        <w:t>日    期：</w:t>
      </w:r>
    </w:p>
    <w:p w14:paraId="31D77EA4">
      <w:pPr>
        <w:rPr>
          <w:rFonts w:hint="eastAsia" w:ascii="宋体" w:hAnsi="宋体" w:cs="宋体"/>
          <w:sz w:val="24"/>
        </w:rPr>
      </w:pPr>
    </w:p>
    <w:p w14:paraId="2EDF29CF">
      <w:pPr>
        <w:rPr>
          <w:rFonts w:hint="eastAsia" w:ascii="宋体" w:hAnsi="宋体" w:cs="宋体"/>
          <w:sz w:val="24"/>
        </w:rPr>
      </w:pPr>
    </w:p>
    <w:p w14:paraId="50DC7FF2">
      <w:pPr>
        <w:pStyle w:val="8"/>
      </w:pPr>
    </w:p>
    <w:p w14:paraId="5F316B95">
      <w:pPr>
        <w:rPr>
          <w:rFonts w:hint="eastAsia"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p w14:paraId="020F9888">
      <w:pPr>
        <w:rPr>
          <w:rFonts w:hint="eastAsia" w:ascii="宋体" w:hAnsi="宋体" w:cs="宋体"/>
          <w:b/>
          <w:sz w:val="24"/>
        </w:rPr>
      </w:pPr>
      <w:r>
        <w:rPr>
          <w:rFonts w:hint="eastAsia" w:ascii="宋体" w:hAnsi="宋体" w:cs="宋体"/>
          <w:b/>
          <w:sz w:val="24"/>
        </w:rPr>
        <w:br w:type="page"/>
      </w:r>
      <w:r>
        <w:rPr>
          <w:rFonts w:hint="eastAsia" w:ascii="宋体" w:hAnsi="宋体" w:cs="宋体"/>
          <w:b/>
          <w:sz w:val="24"/>
        </w:rPr>
        <w:t>附件2</w:t>
      </w:r>
    </w:p>
    <w:p w14:paraId="2F370BAE">
      <w:pPr>
        <w:spacing w:line="560" w:lineRule="exact"/>
        <w:jc w:val="center"/>
        <w:rPr>
          <w:rFonts w:hint="eastAsia" w:ascii="宋体" w:hAnsi="宋体"/>
          <w:b/>
          <w:sz w:val="28"/>
          <w:szCs w:val="28"/>
        </w:rPr>
      </w:pPr>
      <w:r>
        <w:rPr>
          <w:rFonts w:hint="eastAsia" w:ascii="宋体" w:hAnsi="宋体"/>
          <w:b/>
          <w:sz w:val="28"/>
          <w:szCs w:val="28"/>
        </w:rPr>
        <w:t xml:space="preserve">报价明细表    </w:t>
      </w:r>
    </w:p>
    <w:p w14:paraId="007C4857">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5830" w:type="pct"/>
        <w:jc w:val="center"/>
        <w:tblLayout w:type="fixed"/>
        <w:tblCellMar>
          <w:top w:w="0" w:type="dxa"/>
          <w:left w:w="108" w:type="dxa"/>
          <w:bottom w:w="0" w:type="dxa"/>
          <w:right w:w="108" w:type="dxa"/>
        </w:tblCellMar>
      </w:tblPr>
      <w:tblGrid>
        <w:gridCol w:w="1926"/>
        <w:gridCol w:w="5098"/>
        <w:gridCol w:w="705"/>
        <w:gridCol w:w="762"/>
        <w:gridCol w:w="1446"/>
      </w:tblGrid>
      <w:tr w14:paraId="60BE5853">
        <w:tblPrEx>
          <w:tblCellMar>
            <w:top w:w="0" w:type="dxa"/>
            <w:left w:w="108" w:type="dxa"/>
            <w:bottom w:w="0" w:type="dxa"/>
            <w:right w:w="108" w:type="dxa"/>
          </w:tblCellMar>
        </w:tblPrEx>
        <w:trPr>
          <w:trHeight w:val="382" w:hRule="atLeast"/>
          <w:tblHeader/>
          <w:jc w:val="center"/>
        </w:trPr>
        <w:tc>
          <w:tcPr>
            <w:tcW w:w="9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04157">
            <w:pPr>
              <w:widowControl/>
              <w:spacing w:line="288"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服务项目</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9658D">
            <w:pPr>
              <w:widowControl/>
              <w:spacing w:line="288"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详细内容</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D6FDF">
            <w:pPr>
              <w:widowControl/>
              <w:spacing w:line="288"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数量</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58DF3">
            <w:pPr>
              <w:widowControl/>
              <w:spacing w:line="288"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单位</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9F26B">
            <w:pPr>
              <w:widowControl/>
              <w:spacing w:line="288" w:lineRule="auto"/>
              <w:jc w:val="center"/>
              <w:textAlignment w:val="center"/>
              <w:rPr>
                <w:rFonts w:hint="default" w:ascii="仿宋" w:hAnsi="仿宋" w:eastAsia="仿宋" w:cs="仿宋"/>
                <w:b/>
                <w:bCs/>
                <w:kern w:val="0"/>
                <w:sz w:val="24"/>
                <w:lang w:val="en-US" w:eastAsia="zh-CN" w:bidi="ar"/>
              </w:rPr>
            </w:pPr>
            <w:r>
              <w:rPr>
                <w:rFonts w:hint="eastAsia" w:ascii="仿宋" w:hAnsi="仿宋" w:eastAsia="仿宋" w:cs="仿宋"/>
                <w:b/>
                <w:bCs/>
                <w:kern w:val="0"/>
                <w:sz w:val="24"/>
                <w:lang w:val="en-US" w:eastAsia="zh-CN" w:bidi="ar"/>
              </w:rPr>
              <w:t>预算费用</w:t>
            </w:r>
          </w:p>
        </w:tc>
      </w:tr>
      <w:tr w14:paraId="0820F4C1">
        <w:tblPrEx>
          <w:tblCellMar>
            <w:top w:w="0" w:type="dxa"/>
            <w:left w:w="108" w:type="dxa"/>
            <w:bottom w:w="0" w:type="dxa"/>
            <w:right w:w="108" w:type="dxa"/>
          </w:tblCellMar>
        </w:tblPrEx>
        <w:trPr>
          <w:trHeight w:val="754" w:hRule="atLeast"/>
          <w:jc w:val="center"/>
        </w:trPr>
        <w:tc>
          <w:tcPr>
            <w:tcW w:w="969" w:type="pct"/>
            <w:tcBorders>
              <w:top w:val="single" w:color="000000" w:sz="4" w:space="0"/>
              <w:left w:val="single" w:color="000000" w:sz="4" w:space="0"/>
              <w:bottom w:val="single" w:color="000000" w:sz="4" w:space="0"/>
              <w:right w:val="single" w:color="000000" w:sz="4" w:space="0"/>
            </w:tcBorders>
            <w:noWrap/>
            <w:vAlign w:val="center"/>
          </w:tcPr>
          <w:p w14:paraId="14642D13">
            <w:pPr>
              <w:widowControl/>
              <w:spacing w:line="288" w:lineRule="auto"/>
              <w:jc w:val="center"/>
              <w:textAlignment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职业规划</w:t>
            </w:r>
          </w:p>
          <w:p w14:paraId="6E16281D">
            <w:pPr>
              <w:widowControl/>
              <w:spacing w:line="288" w:lineRule="auto"/>
              <w:jc w:val="center"/>
              <w:textAlignment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大赛校赛平台服务</w:t>
            </w:r>
          </w:p>
        </w:tc>
        <w:tc>
          <w:tcPr>
            <w:tcW w:w="2565" w:type="pct"/>
            <w:tcBorders>
              <w:top w:val="single" w:color="000000" w:sz="4" w:space="0"/>
              <w:left w:val="single" w:color="000000" w:sz="4" w:space="0"/>
              <w:bottom w:val="single" w:color="000000" w:sz="4" w:space="0"/>
              <w:right w:val="single" w:color="000000" w:sz="4" w:space="0"/>
            </w:tcBorders>
            <w:vAlign w:val="center"/>
          </w:tcPr>
          <w:p w14:paraId="6BBCFBF3">
            <w:pPr>
              <w:widowControl/>
              <w:spacing w:line="288" w:lineRule="auto"/>
              <w:jc w:val="left"/>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包含大赛创建、学生报名、作品提交、测评、大赛管理等服务，配备1名技术人员，1名售后咨询人员。</w:t>
            </w:r>
          </w:p>
        </w:tc>
        <w:tc>
          <w:tcPr>
            <w:tcW w:w="354" w:type="pct"/>
            <w:tcBorders>
              <w:top w:val="single" w:color="000000" w:sz="4" w:space="0"/>
              <w:left w:val="single" w:color="000000" w:sz="4" w:space="0"/>
              <w:bottom w:val="single" w:color="000000" w:sz="4" w:space="0"/>
              <w:right w:val="single" w:color="000000" w:sz="4" w:space="0"/>
            </w:tcBorders>
            <w:noWrap/>
            <w:vAlign w:val="center"/>
          </w:tcPr>
          <w:p w14:paraId="10CBCE18">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1</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6358821E">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项</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04C7A925">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r>
      <w:tr w14:paraId="058B86E0">
        <w:tblPrEx>
          <w:tblCellMar>
            <w:top w:w="0" w:type="dxa"/>
            <w:left w:w="108" w:type="dxa"/>
            <w:bottom w:w="0" w:type="dxa"/>
            <w:right w:w="108" w:type="dxa"/>
          </w:tblCellMar>
        </w:tblPrEx>
        <w:trPr>
          <w:trHeight w:val="754" w:hRule="atLeast"/>
          <w:jc w:val="center"/>
        </w:trPr>
        <w:tc>
          <w:tcPr>
            <w:tcW w:w="969" w:type="pct"/>
            <w:vMerge w:val="restart"/>
            <w:tcBorders>
              <w:top w:val="single" w:color="auto" w:sz="4" w:space="0"/>
              <w:left w:val="single" w:color="auto" w:sz="4" w:space="0"/>
              <w:right w:val="single" w:color="auto" w:sz="4" w:space="0"/>
            </w:tcBorders>
            <w:noWrap/>
            <w:vAlign w:val="center"/>
          </w:tcPr>
          <w:p w14:paraId="00579CB3">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省赛复赛、决赛阶段作品打磨</w:t>
            </w:r>
          </w:p>
        </w:tc>
        <w:tc>
          <w:tcPr>
            <w:tcW w:w="2565" w:type="pct"/>
            <w:tcBorders>
              <w:top w:val="single" w:color="auto" w:sz="4" w:space="0"/>
              <w:left w:val="single" w:color="auto" w:sz="4" w:space="0"/>
              <w:bottom w:val="single" w:color="auto" w:sz="4" w:space="0"/>
              <w:right w:val="single" w:color="auto" w:sz="4" w:space="0"/>
            </w:tcBorders>
            <w:vAlign w:val="center"/>
          </w:tcPr>
          <w:p w14:paraId="7073068F">
            <w:pPr>
              <w:widowControl/>
              <w:spacing w:line="288" w:lineRule="auto"/>
              <w:jc w:val="left"/>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生涯发展报告PDF：在PDF内容完善的基础上，邀请省赛级专家进行指导优化</w:t>
            </w:r>
          </w:p>
        </w:tc>
        <w:tc>
          <w:tcPr>
            <w:tcW w:w="354" w:type="pct"/>
            <w:vMerge w:val="restart"/>
            <w:tcBorders>
              <w:top w:val="single" w:color="auto" w:sz="4" w:space="0"/>
              <w:left w:val="single" w:color="auto" w:sz="4" w:space="0"/>
              <w:right w:val="single" w:color="auto" w:sz="4" w:space="0"/>
            </w:tcBorders>
            <w:noWrap/>
            <w:vAlign w:val="center"/>
          </w:tcPr>
          <w:p w14:paraId="0BE78110">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1</w:t>
            </w:r>
          </w:p>
        </w:tc>
        <w:tc>
          <w:tcPr>
            <w:tcW w:w="383" w:type="pct"/>
            <w:vMerge w:val="restart"/>
            <w:tcBorders>
              <w:top w:val="single" w:color="auto" w:sz="4" w:space="0"/>
              <w:left w:val="single" w:color="auto" w:sz="4" w:space="0"/>
              <w:right w:val="single" w:color="auto" w:sz="4" w:space="0"/>
            </w:tcBorders>
            <w:noWrap/>
            <w:vAlign w:val="center"/>
          </w:tcPr>
          <w:p w14:paraId="06C6DA26">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项</w:t>
            </w:r>
          </w:p>
        </w:tc>
        <w:tc>
          <w:tcPr>
            <w:tcW w:w="727" w:type="pct"/>
            <w:vMerge w:val="restart"/>
            <w:tcBorders>
              <w:top w:val="single" w:color="auto" w:sz="4" w:space="0"/>
              <w:left w:val="single" w:color="auto" w:sz="4" w:space="0"/>
              <w:right w:val="single" w:color="auto" w:sz="4" w:space="0"/>
            </w:tcBorders>
            <w:noWrap/>
            <w:vAlign w:val="center"/>
          </w:tcPr>
          <w:p w14:paraId="57598E91">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r>
      <w:tr w14:paraId="32DB09F2">
        <w:tblPrEx>
          <w:tblCellMar>
            <w:top w:w="0" w:type="dxa"/>
            <w:left w:w="108" w:type="dxa"/>
            <w:bottom w:w="0" w:type="dxa"/>
            <w:right w:w="108" w:type="dxa"/>
          </w:tblCellMar>
        </w:tblPrEx>
        <w:trPr>
          <w:trHeight w:val="754" w:hRule="atLeast"/>
          <w:jc w:val="center"/>
        </w:trPr>
        <w:tc>
          <w:tcPr>
            <w:tcW w:w="969" w:type="pct"/>
            <w:vMerge w:val="continue"/>
            <w:tcBorders>
              <w:left w:val="single" w:color="auto" w:sz="4" w:space="0"/>
              <w:right w:val="single" w:color="auto" w:sz="4" w:space="0"/>
            </w:tcBorders>
            <w:noWrap/>
            <w:vAlign w:val="center"/>
          </w:tcPr>
          <w:p w14:paraId="16AC9B54">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c>
          <w:tcPr>
            <w:tcW w:w="2565" w:type="pct"/>
            <w:tcBorders>
              <w:top w:val="single" w:color="auto" w:sz="4" w:space="0"/>
              <w:left w:val="single" w:color="auto" w:sz="4" w:space="0"/>
              <w:bottom w:val="single" w:color="auto" w:sz="4" w:space="0"/>
              <w:right w:val="single" w:color="auto" w:sz="4" w:space="0"/>
            </w:tcBorders>
            <w:vAlign w:val="center"/>
          </w:tcPr>
          <w:p w14:paraId="334CA390">
            <w:pPr>
              <w:widowControl/>
              <w:spacing w:line="288" w:lineRule="auto"/>
              <w:jc w:val="left"/>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生涯发展展示PPT：在PPT内容完善的基础上，不改变原有内容进行字体、排版等美化指导</w:t>
            </w:r>
          </w:p>
        </w:tc>
        <w:tc>
          <w:tcPr>
            <w:tcW w:w="354" w:type="pct"/>
            <w:vMerge w:val="continue"/>
            <w:tcBorders>
              <w:left w:val="single" w:color="auto" w:sz="4" w:space="0"/>
              <w:right w:val="single" w:color="auto" w:sz="4" w:space="0"/>
            </w:tcBorders>
            <w:shd w:val="clear" w:color="auto" w:fill="auto"/>
            <w:noWrap/>
            <w:vAlign w:val="center"/>
          </w:tcPr>
          <w:p w14:paraId="16215E66">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c>
          <w:tcPr>
            <w:tcW w:w="383" w:type="pct"/>
            <w:vMerge w:val="continue"/>
            <w:tcBorders>
              <w:left w:val="single" w:color="auto" w:sz="4" w:space="0"/>
              <w:right w:val="single" w:color="auto" w:sz="4" w:space="0"/>
            </w:tcBorders>
            <w:shd w:val="clear" w:color="auto" w:fill="auto"/>
            <w:noWrap/>
            <w:vAlign w:val="center"/>
          </w:tcPr>
          <w:p w14:paraId="3186817A">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c>
          <w:tcPr>
            <w:tcW w:w="727" w:type="pct"/>
            <w:vMerge w:val="continue"/>
            <w:tcBorders>
              <w:left w:val="single" w:color="auto" w:sz="4" w:space="0"/>
              <w:right w:val="single" w:color="auto" w:sz="4" w:space="0"/>
            </w:tcBorders>
            <w:shd w:val="clear" w:color="auto" w:fill="auto"/>
            <w:noWrap/>
            <w:vAlign w:val="center"/>
          </w:tcPr>
          <w:p w14:paraId="1E01BCC2">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r>
      <w:tr w14:paraId="6D1289D5">
        <w:tblPrEx>
          <w:tblCellMar>
            <w:top w:w="0" w:type="dxa"/>
            <w:left w:w="108" w:type="dxa"/>
            <w:bottom w:w="0" w:type="dxa"/>
            <w:right w:w="108" w:type="dxa"/>
          </w:tblCellMar>
        </w:tblPrEx>
        <w:trPr>
          <w:trHeight w:val="1499" w:hRule="atLeast"/>
          <w:jc w:val="center"/>
        </w:trPr>
        <w:tc>
          <w:tcPr>
            <w:tcW w:w="969" w:type="pct"/>
            <w:vMerge w:val="continue"/>
            <w:tcBorders>
              <w:left w:val="single" w:color="auto" w:sz="4" w:space="0"/>
              <w:right w:val="single" w:color="auto" w:sz="4" w:space="0"/>
            </w:tcBorders>
            <w:noWrap/>
            <w:vAlign w:val="center"/>
          </w:tcPr>
          <w:p w14:paraId="11126BF2">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c>
          <w:tcPr>
            <w:tcW w:w="2565" w:type="pct"/>
            <w:tcBorders>
              <w:top w:val="single" w:color="auto" w:sz="4" w:space="0"/>
              <w:left w:val="single" w:color="auto" w:sz="4" w:space="0"/>
              <w:bottom w:val="single" w:color="auto" w:sz="4" w:space="0"/>
              <w:right w:val="single" w:color="auto" w:sz="4" w:space="0"/>
            </w:tcBorders>
            <w:vAlign w:val="center"/>
          </w:tcPr>
          <w:p w14:paraId="2D55EA98">
            <w:pPr>
              <w:widowControl/>
              <w:spacing w:line="288" w:lineRule="auto"/>
              <w:jc w:val="left"/>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路演指导：</w:t>
            </w:r>
          </w:p>
          <w:p w14:paraId="786E1377">
            <w:pPr>
              <w:widowControl/>
              <w:spacing w:line="288" w:lineRule="auto"/>
              <w:jc w:val="left"/>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1.演讲的逻辑要点</w:t>
            </w:r>
            <w:r>
              <w:rPr>
                <w:rFonts w:hint="eastAsia" w:ascii="宋体" w:hAnsi="宋体" w:eastAsia="宋体" w:cs="宋体"/>
                <w:color w:val="000000" w:themeColor="text1"/>
                <w:kern w:val="0"/>
                <w:sz w:val="21"/>
                <w:szCs w:val="21"/>
                <w:lang w:bidi="ar"/>
                <w14:textFill>
                  <w14:solidFill>
                    <w14:schemeClr w14:val="tx1"/>
                  </w14:solidFill>
                </w14:textFill>
              </w:rPr>
              <w:br w:type="textWrapping"/>
            </w:r>
            <w:r>
              <w:rPr>
                <w:rFonts w:hint="eastAsia" w:ascii="宋体" w:hAnsi="宋体" w:eastAsia="宋体" w:cs="宋体"/>
                <w:color w:val="000000" w:themeColor="text1"/>
                <w:kern w:val="0"/>
                <w:sz w:val="21"/>
                <w:szCs w:val="21"/>
                <w:lang w:bidi="ar"/>
                <w14:textFill>
                  <w14:solidFill>
                    <w14:schemeClr w14:val="tx1"/>
                  </w14:solidFill>
                </w14:textFill>
              </w:rPr>
              <w:t>2.路演礼仪及形象塑造</w:t>
            </w:r>
            <w:r>
              <w:rPr>
                <w:rFonts w:hint="eastAsia" w:ascii="宋体" w:hAnsi="宋体" w:eastAsia="宋体" w:cs="宋体"/>
                <w:color w:val="000000" w:themeColor="text1"/>
                <w:kern w:val="0"/>
                <w:sz w:val="21"/>
                <w:szCs w:val="21"/>
                <w:lang w:bidi="ar"/>
                <w14:textFill>
                  <w14:solidFill>
                    <w14:schemeClr w14:val="tx1"/>
                  </w14:solidFill>
                </w14:textFill>
              </w:rPr>
              <w:br w:type="textWrapping"/>
            </w:r>
            <w:r>
              <w:rPr>
                <w:rFonts w:hint="eastAsia" w:ascii="宋体" w:hAnsi="宋体" w:eastAsia="宋体" w:cs="宋体"/>
                <w:color w:val="000000" w:themeColor="text1"/>
                <w:kern w:val="0"/>
                <w:sz w:val="21"/>
                <w:szCs w:val="21"/>
                <w:lang w:bidi="ar"/>
                <w14:textFill>
                  <w14:solidFill>
                    <w14:schemeClr w14:val="tx1"/>
                  </w14:solidFill>
                </w14:textFill>
              </w:rPr>
              <w:t>3.专家提问环节应对策略</w:t>
            </w:r>
          </w:p>
        </w:tc>
        <w:tc>
          <w:tcPr>
            <w:tcW w:w="354" w:type="pct"/>
            <w:vMerge w:val="continue"/>
            <w:tcBorders>
              <w:left w:val="single" w:color="auto" w:sz="4" w:space="0"/>
              <w:bottom w:val="single" w:color="auto" w:sz="4" w:space="0"/>
              <w:right w:val="single" w:color="auto" w:sz="4" w:space="0"/>
            </w:tcBorders>
            <w:shd w:val="clear" w:color="auto" w:fill="auto"/>
            <w:noWrap/>
            <w:vAlign w:val="center"/>
          </w:tcPr>
          <w:p w14:paraId="0F8DC46B">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c>
          <w:tcPr>
            <w:tcW w:w="383" w:type="pct"/>
            <w:vMerge w:val="continue"/>
            <w:tcBorders>
              <w:left w:val="single" w:color="auto" w:sz="4" w:space="0"/>
              <w:bottom w:val="single" w:color="auto" w:sz="4" w:space="0"/>
              <w:right w:val="single" w:color="auto" w:sz="4" w:space="0"/>
            </w:tcBorders>
            <w:shd w:val="clear" w:color="auto" w:fill="auto"/>
            <w:noWrap/>
            <w:vAlign w:val="center"/>
          </w:tcPr>
          <w:p w14:paraId="09B94A70">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c>
          <w:tcPr>
            <w:tcW w:w="727" w:type="pct"/>
            <w:vMerge w:val="continue"/>
            <w:tcBorders>
              <w:left w:val="single" w:color="auto" w:sz="4" w:space="0"/>
              <w:bottom w:val="single" w:color="auto" w:sz="4" w:space="0"/>
              <w:right w:val="single" w:color="auto" w:sz="4" w:space="0"/>
            </w:tcBorders>
            <w:shd w:val="clear" w:color="auto" w:fill="auto"/>
            <w:noWrap/>
            <w:vAlign w:val="center"/>
          </w:tcPr>
          <w:p w14:paraId="5C799618">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r>
      <w:tr w14:paraId="02FF92CA">
        <w:tblPrEx>
          <w:tblCellMar>
            <w:top w:w="0" w:type="dxa"/>
            <w:left w:w="108" w:type="dxa"/>
            <w:bottom w:w="0" w:type="dxa"/>
            <w:right w:w="108" w:type="dxa"/>
          </w:tblCellMar>
        </w:tblPrEx>
        <w:trPr>
          <w:trHeight w:val="754" w:hRule="atLeast"/>
          <w:jc w:val="center"/>
        </w:trPr>
        <w:tc>
          <w:tcPr>
            <w:tcW w:w="969" w:type="pct"/>
            <w:vMerge w:val="continue"/>
            <w:tcBorders>
              <w:left w:val="single" w:color="auto" w:sz="4" w:space="0"/>
              <w:right w:val="single" w:color="auto" w:sz="4" w:space="0"/>
            </w:tcBorders>
            <w:noWrap/>
            <w:vAlign w:val="center"/>
          </w:tcPr>
          <w:p w14:paraId="75BF8EED">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c>
          <w:tcPr>
            <w:tcW w:w="2565" w:type="pct"/>
            <w:tcBorders>
              <w:top w:val="single" w:color="auto" w:sz="4" w:space="0"/>
              <w:left w:val="single" w:color="auto" w:sz="4" w:space="0"/>
              <w:bottom w:val="single" w:color="auto" w:sz="4" w:space="0"/>
              <w:right w:val="single" w:color="auto" w:sz="4" w:space="0"/>
            </w:tcBorders>
            <w:vAlign w:val="center"/>
          </w:tcPr>
          <w:p w14:paraId="29DE438F">
            <w:pPr>
              <w:widowControl/>
              <w:spacing w:line="288" w:lineRule="auto"/>
              <w:jc w:val="left"/>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求职简历：在PDF内容完善的基础上，邀请省赛级专家进行指导优化</w:t>
            </w:r>
          </w:p>
        </w:tc>
        <w:tc>
          <w:tcPr>
            <w:tcW w:w="354" w:type="pct"/>
            <w:vMerge w:val="restart"/>
            <w:tcBorders>
              <w:top w:val="single" w:color="auto" w:sz="4" w:space="0"/>
              <w:left w:val="single" w:color="auto" w:sz="4" w:space="0"/>
              <w:right w:val="single" w:color="auto" w:sz="4" w:space="0"/>
            </w:tcBorders>
            <w:shd w:val="clear" w:color="auto" w:fill="auto"/>
            <w:noWrap/>
            <w:vAlign w:val="center"/>
          </w:tcPr>
          <w:p w14:paraId="0C3BF6AB">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1</w:t>
            </w:r>
          </w:p>
        </w:tc>
        <w:tc>
          <w:tcPr>
            <w:tcW w:w="383" w:type="pct"/>
            <w:vMerge w:val="restart"/>
            <w:tcBorders>
              <w:top w:val="single" w:color="auto" w:sz="4" w:space="0"/>
              <w:left w:val="single" w:color="auto" w:sz="4" w:space="0"/>
              <w:right w:val="single" w:color="auto" w:sz="4" w:space="0"/>
            </w:tcBorders>
            <w:shd w:val="clear" w:color="auto" w:fill="auto"/>
            <w:noWrap/>
            <w:vAlign w:val="center"/>
          </w:tcPr>
          <w:p w14:paraId="7A04C9E7">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项</w:t>
            </w:r>
          </w:p>
        </w:tc>
        <w:tc>
          <w:tcPr>
            <w:tcW w:w="727" w:type="pct"/>
            <w:vMerge w:val="restart"/>
            <w:tcBorders>
              <w:top w:val="single" w:color="auto" w:sz="4" w:space="0"/>
              <w:left w:val="single" w:color="auto" w:sz="4" w:space="0"/>
              <w:right w:val="single" w:color="auto" w:sz="4" w:space="0"/>
            </w:tcBorders>
            <w:shd w:val="clear" w:color="auto" w:fill="auto"/>
            <w:noWrap/>
            <w:vAlign w:val="center"/>
          </w:tcPr>
          <w:p w14:paraId="7208A5AE">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r>
      <w:tr w14:paraId="56E0F80B">
        <w:tblPrEx>
          <w:tblCellMar>
            <w:top w:w="0" w:type="dxa"/>
            <w:left w:w="108" w:type="dxa"/>
            <w:bottom w:w="0" w:type="dxa"/>
            <w:right w:w="108" w:type="dxa"/>
          </w:tblCellMar>
        </w:tblPrEx>
        <w:trPr>
          <w:trHeight w:val="754" w:hRule="atLeast"/>
          <w:jc w:val="center"/>
        </w:trPr>
        <w:tc>
          <w:tcPr>
            <w:tcW w:w="969" w:type="pct"/>
            <w:vMerge w:val="continue"/>
            <w:tcBorders>
              <w:left w:val="single" w:color="auto" w:sz="4" w:space="0"/>
              <w:right w:val="single" w:color="auto" w:sz="4" w:space="0"/>
            </w:tcBorders>
            <w:noWrap/>
            <w:vAlign w:val="center"/>
          </w:tcPr>
          <w:p w14:paraId="72BEA0D4">
            <w:pPr>
              <w:widowControl/>
              <w:spacing w:line="288" w:lineRule="auto"/>
              <w:jc w:val="center"/>
              <w:textAlignment w:val="center"/>
              <w:rPr>
                <w:rFonts w:hint="eastAsia" w:ascii="宋体" w:hAnsi="宋体" w:eastAsia="宋体" w:cs="宋体"/>
                <w:kern w:val="0"/>
                <w:sz w:val="21"/>
                <w:szCs w:val="21"/>
                <w:lang w:bidi="ar"/>
              </w:rPr>
            </w:pPr>
          </w:p>
        </w:tc>
        <w:tc>
          <w:tcPr>
            <w:tcW w:w="2565" w:type="pct"/>
            <w:tcBorders>
              <w:top w:val="single" w:color="auto" w:sz="4" w:space="0"/>
              <w:left w:val="single" w:color="auto" w:sz="4" w:space="0"/>
              <w:bottom w:val="single" w:color="auto" w:sz="4" w:space="0"/>
              <w:right w:val="single" w:color="auto" w:sz="4" w:space="0"/>
            </w:tcBorders>
            <w:vAlign w:val="center"/>
          </w:tcPr>
          <w:p w14:paraId="48B3091F">
            <w:pPr>
              <w:widowControl/>
              <w:spacing w:line="288" w:lineRule="auto"/>
              <w:jc w:val="left"/>
              <w:textAlignment w:val="center"/>
              <w:rPr>
                <w:rFonts w:hint="eastAsia" w:ascii="宋体" w:hAnsi="宋体" w:eastAsia="宋体" w:cs="宋体"/>
                <w:kern w:val="0"/>
                <w:sz w:val="21"/>
                <w:szCs w:val="21"/>
                <w:lang w:bidi="ar"/>
              </w:rPr>
            </w:pPr>
            <w:r>
              <w:rPr>
                <w:rFonts w:hint="eastAsia" w:ascii="宋体" w:hAnsi="宋体" w:eastAsia="宋体" w:cs="宋体"/>
                <w:color w:val="000000"/>
                <w:kern w:val="0"/>
                <w:sz w:val="21"/>
                <w:szCs w:val="21"/>
                <w:lang w:bidi="ar"/>
              </w:rPr>
              <w:t>就业能力展示PPT：在PPT内容完善的基础上，不改变原有内容进行字体、排版等美化指导</w:t>
            </w:r>
          </w:p>
        </w:tc>
        <w:tc>
          <w:tcPr>
            <w:tcW w:w="354" w:type="pct"/>
            <w:vMerge w:val="continue"/>
            <w:tcBorders>
              <w:left w:val="single" w:color="auto" w:sz="4" w:space="0"/>
              <w:right w:val="single" w:color="auto" w:sz="4" w:space="0"/>
            </w:tcBorders>
            <w:shd w:val="clear" w:color="auto" w:fill="auto"/>
            <w:noWrap/>
            <w:vAlign w:val="center"/>
          </w:tcPr>
          <w:p w14:paraId="4F174767">
            <w:pPr>
              <w:widowControl/>
              <w:spacing w:line="288" w:lineRule="auto"/>
              <w:jc w:val="center"/>
              <w:textAlignment w:val="center"/>
              <w:rPr>
                <w:rFonts w:hint="eastAsia" w:ascii="宋体" w:hAnsi="宋体" w:eastAsia="宋体" w:cs="宋体"/>
                <w:kern w:val="0"/>
                <w:sz w:val="21"/>
                <w:szCs w:val="21"/>
                <w:lang w:bidi="ar"/>
              </w:rPr>
            </w:pPr>
          </w:p>
        </w:tc>
        <w:tc>
          <w:tcPr>
            <w:tcW w:w="383" w:type="pct"/>
            <w:vMerge w:val="continue"/>
            <w:tcBorders>
              <w:left w:val="single" w:color="auto" w:sz="4" w:space="0"/>
              <w:right w:val="single" w:color="auto" w:sz="4" w:space="0"/>
            </w:tcBorders>
            <w:shd w:val="clear" w:color="auto" w:fill="auto"/>
            <w:noWrap/>
            <w:vAlign w:val="center"/>
          </w:tcPr>
          <w:p w14:paraId="6CD47B94">
            <w:pPr>
              <w:widowControl/>
              <w:spacing w:line="288" w:lineRule="auto"/>
              <w:jc w:val="center"/>
              <w:textAlignment w:val="center"/>
              <w:rPr>
                <w:rFonts w:hint="eastAsia" w:ascii="宋体" w:hAnsi="宋体" w:eastAsia="宋体" w:cs="宋体"/>
                <w:kern w:val="0"/>
                <w:sz w:val="21"/>
                <w:szCs w:val="21"/>
                <w:lang w:bidi="ar"/>
              </w:rPr>
            </w:pPr>
          </w:p>
        </w:tc>
        <w:tc>
          <w:tcPr>
            <w:tcW w:w="727" w:type="pct"/>
            <w:vMerge w:val="continue"/>
            <w:tcBorders>
              <w:left w:val="single" w:color="auto" w:sz="4" w:space="0"/>
              <w:right w:val="single" w:color="auto" w:sz="4" w:space="0"/>
            </w:tcBorders>
            <w:shd w:val="clear" w:color="auto" w:fill="auto"/>
            <w:noWrap/>
            <w:vAlign w:val="center"/>
          </w:tcPr>
          <w:p w14:paraId="54024282">
            <w:pPr>
              <w:widowControl/>
              <w:spacing w:line="288" w:lineRule="auto"/>
              <w:jc w:val="center"/>
              <w:textAlignment w:val="center"/>
              <w:rPr>
                <w:rFonts w:hint="eastAsia" w:ascii="宋体" w:hAnsi="宋体" w:eastAsia="宋体" w:cs="宋体"/>
                <w:kern w:val="0"/>
                <w:sz w:val="21"/>
                <w:szCs w:val="21"/>
                <w:lang w:bidi="ar"/>
              </w:rPr>
            </w:pPr>
          </w:p>
        </w:tc>
      </w:tr>
      <w:tr w14:paraId="53263653">
        <w:tblPrEx>
          <w:tblCellMar>
            <w:top w:w="0" w:type="dxa"/>
            <w:left w:w="108" w:type="dxa"/>
            <w:bottom w:w="0" w:type="dxa"/>
            <w:right w:w="108" w:type="dxa"/>
          </w:tblCellMar>
        </w:tblPrEx>
        <w:trPr>
          <w:trHeight w:val="1499" w:hRule="atLeast"/>
          <w:jc w:val="center"/>
        </w:trPr>
        <w:tc>
          <w:tcPr>
            <w:tcW w:w="969" w:type="pct"/>
            <w:vMerge w:val="continue"/>
            <w:tcBorders>
              <w:left w:val="single" w:color="auto" w:sz="4" w:space="0"/>
              <w:bottom w:val="single" w:color="auto" w:sz="4" w:space="0"/>
              <w:right w:val="single" w:color="auto" w:sz="4" w:space="0"/>
            </w:tcBorders>
            <w:noWrap/>
            <w:vAlign w:val="center"/>
          </w:tcPr>
          <w:p w14:paraId="57A450A4">
            <w:pPr>
              <w:widowControl/>
              <w:spacing w:line="288" w:lineRule="auto"/>
              <w:jc w:val="center"/>
              <w:textAlignment w:val="center"/>
              <w:rPr>
                <w:rFonts w:hint="eastAsia" w:ascii="宋体" w:hAnsi="宋体" w:eastAsia="宋体" w:cs="宋体"/>
                <w:kern w:val="0"/>
                <w:sz w:val="21"/>
                <w:szCs w:val="21"/>
                <w:lang w:bidi="ar"/>
              </w:rPr>
            </w:pPr>
          </w:p>
        </w:tc>
        <w:tc>
          <w:tcPr>
            <w:tcW w:w="2565" w:type="pct"/>
            <w:tcBorders>
              <w:top w:val="single" w:color="auto" w:sz="4" w:space="0"/>
              <w:left w:val="single" w:color="auto" w:sz="4" w:space="0"/>
              <w:bottom w:val="single" w:color="auto" w:sz="4" w:space="0"/>
              <w:right w:val="single" w:color="auto" w:sz="4" w:space="0"/>
            </w:tcBorders>
            <w:vAlign w:val="center"/>
          </w:tcPr>
          <w:p w14:paraId="3E26550A">
            <w:pPr>
              <w:widowControl/>
              <w:spacing w:line="288" w:lineRule="auto"/>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路演指导：</w:t>
            </w:r>
          </w:p>
          <w:p w14:paraId="61881154">
            <w:pPr>
              <w:widowControl/>
              <w:spacing w:line="288" w:lineRule="auto"/>
              <w:jc w:val="left"/>
              <w:textAlignment w:val="center"/>
              <w:rPr>
                <w:rFonts w:hint="eastAsia" w:ascii="宋体" w:hAnsi="宋体" w:eastAsia="宋体" w:cs="宋体"/>
                <w:kern w:val="0"/>
                <w:sz w:val="21"/>
                <w:szCs w:val="21"/>
                <w:lang w:bidi="ar"/>
              </w:rPr>
            </w:pPr>
            <w:r>
              <w:rPr>
                <w:rFonts w:hint="eastAsia" w:ascii="宋体" w:hAnsi="宋体" w:eastAsia="宋体" w:cs="宋体"/>
                <w:color w:val="000000"/>
                <w:kern w:val="0"/>
                <w:sz w:val="21"/>
                <w:szCs w:val="21"/>
                <w:lang w:bidi="ar"/>
              </w:rPr>
              <w:t>1.演讲的逻辑要点</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2.路演礼仪及形象塑造</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3.专家提问环节应对策略</w:t>
            </w:r>
          </w:p>
        </w:tc>
        <w:tc>
          <w:tcPr>
            <w:tcW w:w="354" w:type="pct"/>
            <w:vMerge w:val="continue"/>
            <w:tcBorders>
              <w:left w:val="single" w:color="auto" w:sz="4" w:space="0"/>
              <w:bottom w:val="single" w:color="auto" w:sz="4" w:space="0"/>
              <w:right w:val="single" w:color="auto" w:sz="4" w:space="0"/>
            </w:tcBorders>
            <w:shd w:val="clear" w:color="auto" w:fill="auto"/>
            <w:noWrap/>
            <w:vAlign w:val="center"/>
          </w:tcPr>
          <w:p w14:paraId="74B119F0">
            <w:pPr>
              <w:widowControl/>
              <w:spacing w:line="288" w:lineRule="auto"/>
              <w:jc w:val="center"/>
              <w:textAlignment w:val="center"/>
              <w:rPr>
                <w:rFonts w:hint="eastAsia" w:ascii="宋体" w:hAnsi="宋体" w:eastAsia="宋体" w:cs="宋体"/>
                <w:kern w:val="0"/>
                <w:sz w:val="21"/>
                <w:szCs w:val="21"/>
                <w:lang w:bidi="ar"/>
              </w:rPr>
            </w:pPr>
          </w:p>
        </w:tc>
        <w:tc>
          <w:tcPr>
            <w:tcW w:w="383" w:type="pct"/>
            <w:vMerge w:val="continue"/>
            <w:tcBorders>
              <w:left w:val="single" w:color="auto" w:sz="4" w:space="0"/>
              <w:bottom w:val="single" w:color="auto" w:sz="4" w:space="0"/>
              <w:right w:val="single" w:color="auto" w:sz="4" w:space="0"/>
            </w:tcBorders>
            <w:shd w:val="clear" w:color="auto" w:fill="auto"/>
            <w:noWrap/>
            <w:vAlign w:val="center"/>
          </w:tcPr>
          <w:p w14:paraId="6BEB2427">
            <w:pPr>
              <w:widowControl/>
              <w:spacing w:line="288" w:lineRule="auto"/>
              <w:jc w:val="center"/>
              <w:textAlignment w:val="center"/>
              <w:rPr>
                <w:rFonts w:hint="eastAsia" w:ascii="宋体" w:hAnsi="宋体" w:eastAsia="宋体" w:cs="宋体"/>
                <w:kern w:val="0"/>
                <w:sz w:val="21"/>
                <w:szCs w:val="21"/>
                <w:lang w:bidi="ar"/>
              </w:rPr>
            </w:pPr>
          </w:p>
        </w:tc>
        <w:tc>
          <w:tcPr>
            <w:tcW w:w="727" w:type="pct"/>
            <w:vMerge w:val="continue"/>
            <w:tcBorders>
              <w:left w:val="single" w:color="auto" w:sz="4" w:space="0"/>
              <w:bottom w:val="single" w:color="auto" w:sz="4" w:space="0"/>
              <w:right w:val="single" w:color="auto" w:sz="4" w:space="0"/>
            </w:tcBorders>
            <w:shd w:val="clear" w:color="auto" w:fill="auto"/>
            <w:noWrap/>
            <w:vAlign w:val="center"/>
          </w:tcPr>
          <w:p w14:paraId="564CBDB1">
            <w:pPr>
              <w:widowControl/>
              <w:spacing w:line="288" w:lineRule="auto"/>
              <w:jc w:val="center"/>
              <w:textAlignment w:val="center"/>
              <w:rPr>
                <w:rFonts w:hint="eastAsia" w:ascii="宋体" w:hAnsi="宋体" w:eastAsia="宋体" w:cs="宋体"/>
                <w:kern w:val="0"/>
                <w:sz w:val="21"/>
                <w:szCs w:val="21"/>
                <w:lang w:bidi="ar"/>
              </w:rPr>
            </w:pPr>
          </w:p>
        </w:tc>
      </w:tr>
      <w:tr w14:paraId="718D257D">
        <w:tblPrEx>
          <w:tblCellMar>
            <w:top w:w="0" w:type="dxa"/>
            <w:left w:w="108" w:type="dxa"/>
            <w:bottom w:w="0" w:type="dxa"/>
            <w:right w:w="108" w:type="dxa"/>
          </w:tblCellMar>
        </w:tblPrEx>
        <w:trPr>
          <w:trHeight w:val="764" w:hRule="atLeast"/>
          <w:jc w:val="center"/>
        </w:trPr>
        <w:tc>
          <w:tcPr>
            <w:tcW w:w="969" w:type="pct"/>
            <w:tcBorders>
              <w:top w:val="single" w:color="auto" w:sz="4" w:space="0"/>
              <w:left w:val="single" w:color="auto" w:sz="4" w:space="0"/>
              <w:bottom w:val="single" w:color="auto" w:sz="4" w:space="0"/>
              <w:right w:val="single" w:color="auto" w:sz="4" w:space="0"/>
            </w:tcBorders>
            <w:noWrap/>
            <w:vAlign w:val="center"/>
          </w:tcPr>
          <w:p w14:paraId="510997DE">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PPT设计、美化制作费用</w:t>
            </w:r>
          </w:p>
        </w:tc>
        <w:tc>
          <w:tcPr>
            <w:tcW w:w="2565" w:type="pct"/>
            <w:tcBorders>
              <w:top w:val="single" w:color="auto" w:sz="4" w:space="0"/>
              <w:left w:val="single" w:color="auto" w:sz="4" w:space="0"/>
              <w:bottom w:val="single" w:color="auto" w:sz="4" w:space="0"/>
              <w:right w:val="single" w:color="auto" w:sz="4" w:space="0"/>
            </w:tcBorders>
            <w:vAlign w:val="center"/>
          </w:tcPr>
          <w:p w14:paraId="141276B4">
            <w:pPr>
              <w:widowControl/>
              <w:spacing w:line="288" w:lineRule="auto"/>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晋级省赛复赛、决赛项目PPT设计、美化制作</w:t>
            </w:r>
          </w:p>
          <w:p w14:paraId="064C83CD">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990DD8">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1</w:t>
            </w:r>
          </w:p>
        </w:tc>
        <w:tc>
          <w:tcPr>
            <w:tcW w:w="3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FB6491">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项</w:t>
            </w:r>
          </w:p>
        </w:tc>
        <w:tc>
          <w:tcPr>
            <w:tcW w:w="72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8A82D8">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r>
      <w:tr w14:paraId="308A4102">
        <w:tblPrEx>
          <w:tblCellMar>
            <w:top w:w="0" w:type="dxa"/>
            <w:left w:w="108" w:type="dxa"/>
            <w:bottom w:w="0" w:type="dxa"/>
            <w:right w:w="108" w:type="dxa"/>
          </w:tblCellMar>
        </w:tblPrEx>
        <w:trPr>
          <w:trHeight w:val="599" w:hRule="atLeast"/>
          <w:jc w:val="center"/>
        </w:trPr>
        <w:tc>
          <w:tcPr>
            <w:tcW w:w="3534" w:type="pct"/>
            <w:gridSpan w:val="2"/>
            <w:tcBorders>
              <w:top w:val="single" w:color="auto" w:sz="4" w:space="0"/>
              <w:left w:val="single" w:color="auto" w:sz="4" w:space="0"/>
              <w:bottom w:val="single" w:color="auto" w:sz="4" w:space="0"/>
              <w:right w:val="single" w:color="auto" w:sz="4" w:space="0"/>
            </w:tcBorders>
            <w:noWrap/>
            <w:vAlign w:val="center"/>
          </w:tcPr>
          <w:p w14:paraId="7BE7866C">
            <w:pPr>
              <w:widowControl/>
              <w:spacing w:line="288" w:lineRule="auto"/>
              <w:jc w:val="center"/>
              <w:textAlignment w:val="center"/>
              <w:rPr>
                <w:rFonts w:hint="default"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仿宋" w:hAnsi="仿宋" w:eastAsia="仿宋" w:cs="仿宋"/>
                <w:b/>
                <w:bCs/>
                <w:color w:val="000000" w:themeColor="text1"/>
                <w:kern w:val="0"/>
                <w:sz w:val="28"/>
                <w:szCs w:val="28"/>
                <w:lang w:val="en-US" w:eastAsia="zh-CN" w:bidi="ar"/>
                <w14:textFill>
                  <w14:solidFill>
                    <w14:schemeClr w14:val="tx1"/>
                  </w14:solidFill>
                </w14:textFill>
              </w:rPr>
              <w:t>合计（元）</w:t>
            </w:r>
          </w:p>
        </w:tc>
        <w:tc>
          <w:tcPr>
            <w:tcW w:w="1465"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AD00887">
            <w:pPr>
              <w:widowControl/>
              <w:spacing w:line="288" w:lineRule="auto"/>
              <w:jc w:val="center"/>
              <w:textAlignment w:val="center"/>
              <w:rPr>
                <w:rFonts w:hint="eastAsia" w:ascii="宋体" w:hAnsi="宋体" w:eastAsia="宋体" w:cs="宋体"/>
                <w:color w:val="000000" w:themeColor="text1"/>
                <w:kern w:val="0"/>
                <w:sz w:val="21"/>
                <w:szCs w:val="21"/>
                <w:lang w:bidi="ar"/>
                <w14:textFill>
                  <w14:solidFill>
                    <w14:schemeClr w14:val="tx1"/>
                  </w14:solidFill>
                </w14:textFill>
              </w:rPr>
            </w:pPr>
          </w:p>
        </w:tc>
      </w:tr>
    </w:tbl>
    <w:p w14:paraId="7BB40DF4">
      <w:pPr>
        <w:snapToGrid w:val="0"/>
        <w:spacing w:line="460" w:lineRule="exact"/>
        <w:rPr>
          <w:rFonts w:hint="eastAsia" w:ascii="宋体" w:hAnsi="宋体" w:cs="Tahoma"/>
          <w:szCs w:val="21"/>
        </w:rPr>
      </w:pPr>
      <w:r>
        <w:rPr>
          <w:rFonts w:hint="eastAsia" w:hAnsi="宋体"/>
          <w:szCs w:val="21"/>
        </w:rPr>
        <w:t>注：</w:t>
      </w:r>
      <w:r>
        <w:rPr>
          <w:rFonts w:hint="eastAsia" w:hAnsi="宋体"/>
          <w:szCs w:val="21"/>
          <w:lang w:val="en-US" w:eastAsia="zh-CN"/>
        </w:rPr>
        <w:t>附件2</w:t>
      </w:r>
      <w:r>
        <w:rPr>
          <w:rFonts w:hint="eastAsia" w:hAnsi="宋体"/>
          <w:szCs w:val="21"/>
        </w:rPr>
        <w:t>的“</w:t>
      </w:r>
      <w:r>
        <w:rPr>
          <w:rFonts w:hint="eastAsia" w:hAnsi="宋体"/>
          <w:szCs w:val="21"/>
        </w:rPr>
        <w:t>合计</w:t>
      </w:r>
      <w:r>
        <w:rPr>
          <w:rFonts w:hint="eastAsia" w:hAnsi="宋体"/>
          <w:szCs w:val="21"/>
        </w:rPr>
        <w:t>”要与附件</w:t>
      </w:r>
      <w:r>
        <w:rPr>
          <w:rFonts w:hint="eastAsia" w:ascii="宋体" w:hAnsi="宋体" w:eastAsia="宋体" w:cs="宋体"/>
          <w:szCs w:val="21"/>
        </w:rPr>
        <w:t>1</w:t>
      </w:r>
      <w:r>
        <w:rPr>
          <w:rFonts w:hint="eastAsia" w:hAnsi="宋体"/>
          <w:szCs w:val="21"/>
        </w:rPr>
        <w:t>《报价一览表》中的“总报价”一致，否则视为自动放弃询价资格。</w:t>
      </w:r>
      <w:r>
        <w:rPr>
          <w:rFonts w:hint="eastAsia" w:ascii="宋体" w:hAnsi="宋体" w:cs="Tahoma"/>
          <w:szCs w:val="21"/>
        </w:rPr>
        <w:t xml:space="preserve">                                     </w:t>
      </w:r>
    </w:p>
    <w:p w14:paraId="19DA55CC">
      <w:pPr>
        <w:tabs>
          <w:tab w:val="left" w:pos="8100"/>
        </w:tabs>
        <w:adjustRightInd w:val="0"/>
        <w:snapToGrid w:val="0"/>
        <w:spacing w:line="348" w:lineRule="auto"/>
        <w:ind w:right="840"/>
        <w:jc w:val="center"/>
        <w:rPr>
          <w:rFonts w:hint="eastAsia" w:ascii="宋体" w:hAnsi="宋体" w:cs="Tahoma"/>
          <w:szCs w:val="21"/>
        </w:rPr>
      </w:pPr>
      <w:r>
        <w:rPr>
          <w:rFonts w:hint="eastAsia" w:ascii="宋体" w:hAnsi="宋体" w:cs="Tahoma"/>
          <w:szCs w:val="21"/>
        </w:rPr>
        <w:t xml:space="preserve">             </w:t>
      </w:r>
    </w:p>
    <w:p w14:paraId="20EE2712">
      <w:pPr>
        <w:tabs>
          <w:tab w:val="left" w:pos="8100"/>
        </w:tabs>
        <w:adjustRightInd w:val="0"/>
        <w:snapToGrid w:val="0"/>
        <w:spacing w:line="348" w:lineRule="auto"/>
        <w:ind w:right="840"/>
        <w:jc w:val="center"/>
        <w:rPr>
          <w:rFonts w:hint="eastAsia" w:ascii="宋体" w:hAnsi="宋体" w:cs="Tahoma"/>
          <w:szCs w:val="21"/>
        </w:rPr>
      </w:pPr>
      <w:r>
        <w:rPr>
          <w:rFonts w:hint="eastAsia" w:ascii="宋体" w:hAnsi="宋体" w:cs="Tahoma"/>
          <w:szCs w:val="21"/>
        </w:rPr>
        <w:t xml:space="preserve"> </w:t>
      </w:r>
    </w:p>
    <w:p w14:paraId="1403F519">
      <w:pPr>
        <w:tabs>
          <w:tab w:val="left" w:pos="8100"/>
        </w:tabs>
        <w:adjustRightInd w:val="0"/>
        <w:snapToGrid w:val="0"/>
        <w:spacing w:line="348" w:lineRule="auto"/>
        <w:ind w:right="840"/>
        <w:jc w:val="center"/>
        <w:rPr>
          <w:rFonts w:hint="eastAsia" w:ascii="宋体" w:hAnsi="宋体" w:cs="Tahoma"/>
          <w:szCs w:val="21"/>
        </w:rPr>
      </w:pPr>
      <w:r>
        <w:rPr>
          <w:rFonts w:hint="eastAsia" w:ascii="宋体" w:hAnsi="宋体" w:cs="Tahoma"/>
          <w:szCs w:val="21"/>
        </w:rPr>
        <w:t>报价供应商（公章）：                           日期：   年    月    日</w:t>
      </w:r>
    </w:p>
    <w:p w14:paraId="1EB6161F">
      <w:pPr>
        <w:snapToGrid w:val="0"/>
        <w:spacing w:line="460" w:lineRule="exact"/>
        <w:ind w:firstLine="411" w:firstLineChars="196"/>
        <w:rPr>
          <w:rFonts w:hint="eastAsia" w:hAnsi="宋体"/>
          <w:szCs w:val="21"/>
        </w:rPr>
      </w:pPr>
    </w:p>
    <w:p w14:paraId="219AC358">
      <w:pPr>
        <w:snapToGrid w:val="0"/>
        <w:spacing w:line="460" w:lineRule="exact"/>
        <w:ind w:firstLine="411" w:firstLineChars="196"/>
        <w:rPr>
          <w:rFonts w:hint="eastAsia" w:hAnsi="宋体"/>
          <w:szCs w:val="21"/>
        </w:rPr>
      </w:pPr>
    </w:p>
    <w:p w14:paraId="67363A8B">
      <w:pPr>
        <w:snapToGrid w:val="0"/>
        <w:spacing w:line="460" w:lineRule="exact"/>
        <w:ind w:firstLine="411" w:firstLineChars="196"/>
        <w:rPr>
          <w:rFonts w:hint="eastAsia" w:hAnsi="宋体"/>
          <w:szCs w:val="21"/>
        </w:rPr>
      </w:pPr>
    </w:p>
    <w:p w14:paraId="6645068B">
      <w:pPr>
        <w:rPr>
          <w:rFonts w:hint="eastAsia" w:ascii="宋体" w:hAnsi="宋体" w:cs="宋体"/>
          <w:b/>
          <w:sz w:val="24"/>
        </w:rPr>
      </w:pPr>
      <w:r>
        <w:rPr>
          <w:rFonts w:hint="eastAsia"/>
          <w:b/>
          <w:sz w:val="24"/>
        </w:rPr>
        <w:t>（注：本报价表为必要文件，必须加盖报价供应商公章，否则作无效报价处理）</w:t>
      </w:r>
    </w:p>
    <w:p w14:paraId="652E1544">
      <w:pPr>
        <w:rPr>
          <w:rFonts w:hint="eastAsia" w:ascii="宋体" w:hAnsi="宋体" w:cs="宋体"/>
          <w:b/>
          <w:sz w:val="24"/>
        </w:rPr>
      </w:pPr>
      <w:r>
        <w:rPr>
          <w:rFonts w:hint="eastAsia" w:ascii="宋体" w:hAnsi="宋体" w:cs="宋体"/>
          <w:b/>
          <w:sz w:val="24"/>
        </w:rPr>
        <w:br w:type="page"/>
      </w:r>
      <w:r>
        <w:rPr>
          <w:rFonts w:hint="eastAsia" w:ascii="宋体" w:hAnsi="宋体" w:cs="宋体"/>
          <w:b/>
          <w:sz w:val="24"/>
        </w:rPr>
        <w:t>附件3</w:t>
      </w:r>
    </w:p>
    <w:p w14:paraId="51901A70">
      <w:pPr>
        <w:pStyle w:val="3"/>
        <w:spacing w:before="0" w:after="0" w:line="400" w:lineRule="exact"/>
        <w:rPr>
          <w:rFonts w:hint="eastAsia" w:ascii="宋体" w:hAnsi="宋体" w:cs="宋体"/>
          <w:szCs w:val="28"/>
        </w:rPr>
      </w:pPr>
    </w:p>
    <w:p w14:paraId="234E658C">
      <w:pPr>
        <w:pStyle w:val="3"/>
        <w:spacing w:before="0" w:after="0" w:line="400" w:lineRule="exact"/>
        <w:jc w:val="center"/>
        <w:rPr>
          <w:rFonts w:hint="eastAsia" w:ascii="仿宋" w:hAnsi="仿宋" w:eastAsia="仿宋" w:cs="仿宋"/>
          <w:sz w:val="44"/>
          <w:szCs w:val="44"/>
        </w:rPr>
      </w:pPr>
      <w:r>
        <w:rPr>
          <w:rFonts w:hint="eastAsia" w:ascii="宋体" w:hAnsi="宋体" w:cs="宋体"/>
          <w:szCs w:val="28"/>
        </w:rPr>
        <w:t>承诺书</w:t>
      </w:r>
    </w:p>
    <w:p w14:paraId="51BC6794">
      <w:pPr>
        <w:pStyle w:val="17"/>
        <w:spacing w:line="480" w:lineRule="auto"/>
        <w:ind w:firstLine="0" w:firstLineChars="0"/>
        <w:jc w:val="left"/>
        <w:rPr>
          <w:rFonts w:hint="eastAsia" w:ascii="仿宋" w:hAnsi="仿宋" w:eastAsia="仿宋" w:cs="仿宋"/>
          <w:sz w:val="24"/>
        </w:rPr>
      </w:pPr>
    </w:p>
    <w:p w14:paraId="485DC65A">
      <w:pPr>
        <w:pStyle w:val="17"/>
        <w:spacing w:line="480" w:lineRule="auto"/>
        <w:ind w:firstLine="480"/>
        <w:jc w:val="left"/>
        <w:rPr>
          <w:rFonts w:hint="eastAsia"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w:t>
      </w:r>
      <w:r>
        <w:rPr>
          <w:rFonts w:hint="eastAsia" w:ascii="宋体" w:hAnsi="宋体" w:cs="宋体"/>
          <w:sz w:val="24"/>
          <w:lang w:eastAsia="zh-CN"/>
        </w:rPr>
        <w:t>，</w:t>
      </w:r>
      <w:bookmarkStart w:id="0" w:name="_GoBack"/>
      <w:bookmarkEnd w:id="0"/>
      <w:r>
        <w:rPr>
          <w:rFonts w:hint="eastAsia" w:ascii="宋体" w:hAnsi="宋体" w:cs="宋体"/>
          <w:sz w:val="24"/>
        </w:rPr>
        <w:t>且非联合体投标。如若我方不符合上述声明，则贵校有权随时无条件解除双方之间合同，一切责任均由我方承担。</w:t>
      </w:r>
    </w:p>
    <w:p w14:paraId="55BEBC85">
      <w:pPr>
        <w:pStyle w:val="17"/>
        <w:ind w:firstLine="480"/>
        <w:jc w:val="left"/>
        <w:rPr>
          <w:rFonts w:hint="eastAsia" w:ascii="宋体" w:hAnsi="宋体" w:cs="宋体"/>
          <w:sz w:val="24"/>
        </w:rPr>
      </w:pPr>
    </w:p>
    <w:p w14:paraId="58170429">
      <w:pPr>
        <w:tabs>
          <w:tab w:val="left" w:pos="676"/>
          <w:tab w:val="left" w:pos="2330"/>
          <w:tab w:val="left" w:pos="9230"/>
        </w:tabs>
        <w:autoSpaceDE w:val="0"/>
        <w:autoSpaceDN w:val="0"/>
        <w:adjustRightInd w:val="0"/>
        <w:rPr>
          <w:rFonts w:hint="eastAsia" w:ascii="宋体" w:hAnsi="宋体" w:cs="宋体"/>
          <w:sz w:val="24"/>
        </w:rPr>
      </w:pPr>
    </w:p>
    <w:p w14:paraId="1591C332">
      <w:pPr>
        <w:tabs>
          <w:tab w:val="left" w:pos="676"/>
          <w:tab w:val="left" w:pos="2330"/>
          <w:tab w:val="left" w:pos="9230"/>
        </w:tabs>
        <w:autoSpaceDE w:val="0"/>
        <w:autoSpaceDN w:val="0"/>
        <w:adjustRightInd w:val="0"/>
        <w:rPr>
          <w:rFonts w:hint="eastAsia" w:ascii="宋体" w:hAnsi="宋体" w:cs="宋体"/>
          <w:sz w:val="24"/>
        </w:rPr>
      </w:pPr>
    </w:p>
    <w:p w14:paraId="35537193">
      <w:pPr>
        <w:spacing w:line="480" w:lineRule="exact"/>
        <w:ind w:left="4599" w:leftChars="2190" w:firstLine="240" w:firstLineChars="100"/>
        <w:rPr>
          <w:rFonts w:hint="eastAsia" w:ascii="宋体" w:hAnsi="宋体" w:cs="宋体"/>
          <w:sz w:val="24"/>
        </w:rPr>
      </w:pPr>
      <w:r>
        <w:rPr>
          <w:rFonts w:hint="eastAsia" w:ascii="宋体" w:hAnsi="宋体" w:cs="宋体"/>
          <w:sz w:val="24"/>
        </w:rPr>
        <w:t>投标人（公章）：</w:t>
      </w:r>
    </w:p>
    <w:p w14:paraId="531A32EB">
      <w:pPr>
        <w:spacing w:line="480" w:lineRule="exact"/>
        <w:ind w:left="4599" w:leftChars="2190" w:firstLine="240" w:firstLineChars="100"/>
        <w:rPr>
          <w:rFonts w:hint="eastAsia" w:ascii="宋体" w:hAnsi="宋体" w:cs="宋体"/>
          <w:sz w:val="24"/>
        </w:rPr>
      </w:pPr>
      <w:r>
        <w:rPr>
          <w:rFonts w:hint="eastAsia" w:ascii="宋体" w:hAnsi="宋体" w:cs="宋体"/>
          <w:sz w:val="24"/>
        </w:rPr>
        <w:t>投标人地址：</w:t>
      </w:r>
    </w:p>
    <w:p w14:paraId="50AD5ACA">
      <w:pPr>
        <w:spacing w:line="480" w:lineRule="exact"/>
        <w:ind w:left="4838" w:leftChars="2304"/>
        <w:rPr>
          <w:rFonts w:hint="eastAsia" w:ascii="宋体" w:hAnsi="宋体" w:cs="宋体"/>
          <w:sz w:val="24"/>
        </w:rPr>
      </w:pPr>
      <w:r>
        <w:rPr>
          <w:rFonts w:hint="eastAsia" w:ascii="宋体" w:hAnsi="宋体" w:cs="宋体"/>
          <w:sz w:val="24"/>
        </w:rPr>
        <w:t>法定代表人或代理人姓名（手写签名）：</w:t>
      </w:r>
    </w:p>
    <w:p w14:paraId="020DCCD4">
      <w:pPr>
        <w:spacing w:line="480" w:lineRule="exact"/>
        <w:ind w:left="4599" w:leftChars="2190" w:firstLine="240" w:firstLineChars="100"/>
        <w:rPr>
          <w:rFonts w:hint="eastAsia" w:ascii="仿宋" w:hAnsi="仿宋" w:eastAsia="仿宋" w:cs="仿宋"/>
          <w:sz w:val="28"/>
          <w:szCs w:val="28"/>
        </w:rPr>
      </w:pPr>
      <w:r>
        <w:rPr>
          <w:rFonts w:hint="eastAsia" w:ascii="宋体" w:hAnsi="宋体" w:cs="宋体"/>
          <w:sz w:val="24"/>
        </w:rPr>
        <w:t>日    期：</w:t>
      </w:r>
    </w:p>
    <w:p w14:paraId="567E792A">
      <w:pPr>
        <w:rPr>
          <w:rFonts w:cs="Tahoma"/>
          <w:b/>
          <w:sz w:val="24"/>
        </w:rPr>
      </w:pPr>
    </w:p>
    <w:p w14:paraId="68859478">
      <w:pPr>
        <w:rPr>
          <w:rFonts w:cs="Tahoma"/>
          <w:b/>
          <w:sz w:val="24"/>
        </w:rPr>
      </w:pPr>
    </w:p>
    <w:p w14:paraId="7040367C">
      <w:pPr>
        <w:rPr>
          <w:rFonts w:cs="Tahoma"/>
          <w:b/>
          <w:sz w:val="24"/>
        </w:rPr>
      </w:pPr>
    </w:p>
    <w:p w14:paraId="4F5779E6">
      <w:pPr>
        <w:rPr>
          <w:rFonts w:cs="Tahoma"/>
          <w:b/>
          <w:sz w:val="24"/>
        </w:rPr>
      </w:pPr>
    </w:p>
    <w:p w14:paraId="452D9D6F">
      <w:pPr>
        <w:rPr>
          <w:rFonts w:cs="Tahoma"/>
          <w:b/>
          <w:sz w:val="24"/>
        </w:rPr>
      </w:pPr>
    </w:p>
    <w:p w14:paraId="2BB1A9CF">
      <w:pPr>
        <w:rPr>
          <w:rFonts w:cs="Tahoma"/>
          <w:b/>
          <w:sz w:val="24"/>
        </w:rPr>
      </w:pPr>
    </w:p>
    <w:p w14:paraId="20EEB851">
      <w:pPr>
        <w:rPr>
          <w:rFonts w:cs="Tahoma"/>
          <w:b/>
          <w:sz w:val="24"/>
        </w:rPr>
      </w:pPr>
    </w:p>
    <w:p w14:paraId="364E7CBD">
      <w:pPr>
        <w:rPr>
          <w:rFonts w:cs="Tahoma"/>
          <w:b/>
          <w:sz w:val="24"/>
        </w:rPr>
      </w:pPr>
    </w:p>
    <w:p w14:paraId="5158431F">
      <w:pPr>
        <w:pStyle w:val="8"/>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JkZDM4NDJjYTMxMTVkNDNlODBiZjlhYWJiZGMyNjEifQ=="/>
  </w:docVars>
  <w:rsids>
    <w:rsidRoot w:val="007C5F5A"/>
    <w:rsid w:val="00255699"/>
    <w:rsid w:val="006129B3"/>
    <w:rsid w:val="006C2889"/>
    <w:rsid w:val="006E0951"/>
    <w:rsid w:val="007C5F5A"/>
    <w:rsid w:val="00CA63BF"/>
    <w:rsid w:val="00F05EFE"/>
    <w:rsid w:val="03353615"/>
    <w:rsid w:val="0519432B"/>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8AB312E"/>
    <w:rsid w:val="19F26CAA"/>
    <w:rsid w:val="1A444EEE"/>
    <w:rsid w:val="1BF95ED5"/>
    <w:rsid w:val="1D440623"/>
    <w:rsid w:val="1DB42CA3"/>
    <w:rsid w:val="1E311151"/>
    <w:rsid w:val="1F507DBE"/>
    <w:rsid w:val="212177E3"/>
    <w:rsid w:val="229D1137"/>
    <w:rsid w:val="24BB1A74"/>
    <w:rsid w:val="25203CCD"/>
    <w:rsid w:val="264A6E5E"/>
    <w:rsid w:val="27402C58"/>
    <w:rsid w:val="2A17416A"/>
    <w:rsid w:val="2C180514"/>
    <w:rsid w:val="2CD32928"/>
    <w:rsid w:val="2DFC7AE4"/>
    <w:rsid w:val="2E1609D1"/>
    <w:rsid w:val="2EA65243"/>
    <w:rsid w:val="2F3113EE"/>
    <w:rsid w:val="31993A3E"/>
    <w:rsid w:val="31C52C12"/>
    <w:rsid w:val="370945C1"/>
    <w:rsid w:val="375D5654"/>
    <w:rsid w:val="37753A04"/>
    <w:rsid w:val="39142D2B"/>
    <w:rsid w:val="3B3360B0"/>
    <w:rsid w:val="3D840E45"/>
    <w:rsid w:val="3E1F750B"/>
    <w:rsid w:val="3E893E94"/>
    <w:rsid w:val="3F516B05"/>
    <w:rsid w:val="3F9D2CB9"/>
    <w:rsid w:val="4221507E"/>
    <w:rsid w:val="425354F9"/>
    <w:rsid w:val="43854442"/>
    <w:rsid w:val="447F13B3"/>
    <w:rsid w:val="44B0765F"/>
    <w:rsid w:val="44E740BA"/>
    <w:rsid w:val="45ED3300"/>
    <w:rsid w:val="460A3C4D"/>
    <w:rsid w:val="48A835D7"/>
    <w:rsid w:val="493F0316"/>
    <w:rsid w:val="49A34401"/>
    <w:rsid w:val="4B1F346C"/>
    <w:rsid w:val="4C800A2A"/>
    <w:rsid w:val="4D1A2C2C"/>
    <w:rsid w:val="4D976207"/>
    <w:rsid w:val="4E3715BC"/>
    <w:rsid w:val="4EA67132"/>
    <w:rsid w:val="508D3CB3"/>
    <w:rsid w:val="50E34490"/>
    <w:rsid w:val="5116195C"/>
    <w:rsid w:val="513B40DB"/>
    <w:rsid w:val="534327B1"/>
    <w:rsid w:val="536A2CA6"/>
    <w:rsid w:val="53A64BAC"/>
    <w:rsid w:val="56BD287A"/>
    <w:rsid w:val="5AB47BDF"/>
    <w:rsid w:val="5D2B6790"/>
    <w:rsid w:val="5D93012F"/>
    <w:rsid w:val="5E8C123F"/>
    <w:rsid w:val="5F21609C"/>
    <w:rsid w:val="5FA34D03"/>
    <w:rsid w:val="613357C6"/>
    <w:rsid w:val="632E2B36"/>
    <w:rsid w:val="63AB2175"/>
    <w:rsid w:val="63EA3E83"/>
    <w:rsid w:val="64153CF6"/>
    <w:rsid w:val="64C235B4"/>
    <w:rsid w:val="671B3414"/>
    <w:rsid w:val="69175343"/>
    <w:rsid w:val="6A532BBE"/>
    <w:rsid w:val="6AA5542C"/>
    <w:rsid w:val="6C575CAE"/>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BC12780"/>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rPr>
      <w:rFonts w:ascii="宋体" w:hAnsi="Courier New"/>
      <w:sz w:val="20"/>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2118</Words>
  <Characters>2182</Characters>
  <Lines>18</Lines>
  <Paragraphs>5</Paragraphs>
  <TotalTime>2</TotalTime>
  <ScaleCrop>false</ScaleCrop>
  <LinksUpToDate>false</LinksUpToDate>
  <CharactersWithSpaces>2436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凉粉枇杷</cp:lastModifiedBy>
  <cp:lastPrinted>2024-10-31T08:25:00Z</cp:lastPrinted>
  <dcterms:modified xsi:type="dcterms:W3CDTF">2024-12-19T06:39:51Z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C7C537C07CC544689E60D8A5334F681E_13</vt:lpwstr>
  </property>
</Properties>
</file>