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12E84">
      <w:pPr>
        <w:jc w:val="center"/>
      </w:pPr>
      <w:r>
        <w:rPr>
          <w:rFonts w:hint="eastAsia" w:asciiTheme="majorEastAsia" w:hAnsiTheme="majorEastAsia" w:eastAsiaTheme="majorEastAsia" w:cstheme="majorEastAsia"/>
          <w:b/>
          <w:color w:val="000000" w:themeColor="text1"/>
          <w:sz w:val="36"/>
          <w:szCs w:val="36"/>
        </w:rPr>
        <w:t>广东生态工程职业学院海珠校区图书馆图书盘点及数据整理服务项目</w:t>
      </w:r>
      <w:r>
        <w:rPr>
          <w:rFonts w:hint="eastAsia" w:asciiTheme="majorEastAsia" w:hAnsiTheme="majorEastAsia" w:eastAsiaTheme="majorEastAsia" w:cstheme="majorEastAsia"/>
          <w:b/>
          <w:color w:val="000000" w:themeColor="text1"/>
          <w:sz w:val="36"/>
          <w:szCs w:val="36"/>
          <w:lang w:eastAsia="zh-CN"/>
        </w:rPr>
        <w:t>（</w:t>
      </w:r>
      <w:r>
        <w:rPr>
          <w:rFonts w:hint="eastAsia" w:asciiTheme="majorEastAsia" w:hAnsiTheme="majorEastAsia" w:eastAsiaTheme="majorEastAsia" w:cstheme="majorEastAsia"/>
          <w:b/>
          <w:color w:val="000000" w:themeColor="text1"/>
          <w:sz w:val="36"/>
          <w:szCs w:val="36"/>
          <w:lang w:val="en-US" w:eastAsia="zh-CN"/>
        </w:rPr>
        <w:t>二次</w:t>
      </w:r>
      <w:r>
        <w:rPr>
          <w:rFonts w:hint="eastAsia" w:asciiTheme="majorEastAsia" w:hAnsiTheme="majorEastAsia" w:eastAsiaTheme="majorEastAsia" w:cstheme="majorEastAsia"/>
          <w:b/>
          <w:color w:val="000000" w:themeColor="text1"/>
          <w:sz w:val="36"/>
          <w:szCs w:val="36"/>
          <w:lang w:eastAsia="zh-CN"/>
        </w:rPr>
        <w:t>）</w:t>
      </w:r>
      <w:r>
        <w:rPr>
          <w:rFonts w:hint="eastAsia" w:asciiTheme="majorEastAsia" w:hAnsiTheme="majorEastAsia" w:eastAsiaTheme="majorEastAsia" w:cstheme="majorEastAsia"/>
          <w:b/>
          <w:color w:val="000000" w:themeColor="text1"/>
          <w:sz w:val="36"/>
          <w:szCs w:val="36"/>
        </w:rPr>
        <w:t>需求书</w:t>
      </w:r>
    </w:p>
    <w:p w14:paraId="0074E4C4">
      <w:pPr>
        <w:spacing w:line="360" w:lineRule="auto"/>
        <w:jc w:val="left"/>
        <w:rPr>
          <w:rFonts w:ascii="宋体" w:hAnsi="宋体" w:eastAsia="宋体" w:cs="宋体"/>
          <w:sz w:val="28"/>
          <w:szCs w:val="28"/>
        </w:rPr>
      </w:pPr>
    </w:p>
    <w:p w14:paraId="243D9F79">
      <w:pPr>
        <w:pStyle w:val="16"/>
        <w:numPr>
          <w:ilvl w:val="0"/>
          <w:numId w:val="1"/>
        </w:numPr>
        <w:spacing w:line="360" w:lineRule="auto"/>
        <w:ind w:left="210" w:firstLine="562"/>
        <w:jc w:val="left"/>
        <w:rPr>
          <w:rFonts w:ascii="宋体" w:hAnsi="宋体" w:eastAsia="宋体" w:cs="宋体"/>
          <w:sz w:val="28"/>
          <w:szCs w:val="28"/>
        </w:rPr>
      </w:pPr>
      <w:r>
        <w:rPr>
          <w:rFonts w:hint="eastAsia" w:ascii="宋体" w:hAnsi="宋体" w:eastAsia="宋体" w:cs="宋体"/>
          <w:b/>
          <w:bCs w:val="0"/>
          <w:sz w:val="28"/>
          <w:szCs w:val="28"/>
        </w:rPr>
        <w:t>项目名称:</w:t>
      </w:r>
      <w:bookmarkStart w:id="0" w:name="OLE_LINK30"/>
      <w:r>
        <w:rPr>
          <w:rFonts w:hint="eastAsia" w:ascii="宋体" w:hAnsi="宋体" w:eastAsia="宋体" w:cs="宋体"/>
          <w:sz w:val="28"/>
          <w:szCs w:val="28"/>
        </w:rPr>
        <w:t>广东生态工程职业学院</w:t>
      </w:r>
      <w:bookmarkStart w:id="1" w:name="OLE_LINK8"/>
      <w:bookmarkStart w:id="2" w:name="OLE_LINK9"/>
      <w:r>
        <w:rPr>
          <w:rFonts w:hint="eastAsia" w:ascii="宋体" w:hAnsi="宋体" w:eastAsia="宋体" w:cs="宋体"/>
          <w:sz w:val="28"/>
          <w:szCs w:val="28"/>
        </w:rPr>
        <w:t>海珠校区图书馆图书盘点及数据整理服务</w:t>
      </w:r>
      <w:bookmarkEnd w:id="1"/>
      <w:bookmarkEnd w:id="2"/>
      <w:r>
        <w:rPr>
          <w:rFonts w:hint="eastAsia" w:ascii="宋体" w:hAnsi="宋体" w:eastAsia="宋体" w:cs="宋体"/>
          <w:sz w:val="28"/>
          <w:szCs w:val="28"/>
        </w:rPr>
        <w:t>项目</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二次</w:t>
      </w:r>
      <w:r>
        <w:rPr>
          <w:rFonts w:hint="eastAsia" w:ascii="宋体" w:hAnsi="宋体" w:eastAsia="宋体" w:cs="宋体"/>
          <w:sz w:val="28"/>
          <w:szCs w:val="28"/>
          <w:lang w:eastAsia="zh-CN"/>
        </w:rPr>
        <w:t>）</w:t>
      </w:r>
    </w:p>
    <w:bookmarkEnd w:id="0"/>
    <w:p w14:paraId="29F2AFC3">
      <w:pPr>
        <w:pStyle w:val="16"/>
        <w:numPr>
          <w:ilvl w:val="0"/>
          <w:numId w:val="1"/>
        </w:numPr>
        <w:spacing w:line="360" w:lineRule="auto"/>
        <w:ind w:left="210" w:firstLine="562"/>
        <w:jc w:val="left"/>
      </w:pPr>
      <w:r>
        <w:rPr>
          <w:rFonts w:hint="eastAsia" w:ascii="宋体" w:hAnsi="宋体" w:eastAsia="宋体" w:cs="宋体"/>
          <w:b/>
          <w:bCs w:val="0"/>
          <w:sz w:val="28"/>
          <w:szCs w:val="28"/>
        </w:rPr>
        <w:t>项目预算：</w:t>
      </w:r>
      <w:r>
        <w:rPr>
          <w:rFonts w:hint="eastAsia" w:ascii="宋体" w:hAnsi="宋体" w:eastAsia="宋体" w:cs="宋体"/>
          <w:bCs w:val="0"/>
          <w:sz w:val="28"/>
          <w:szCs w:val="28"/>
        </w:rPr>
        <w:t>43750</w:t>
      </w:r>
      <w:r>
        <w:rPr>
          <w:rFonts w:hint="eastAsia" w:ascii="宋体" w:hAnsi="宋体" w:eastAsia="宋体" w:cs="宋体"/>
          <w:sz w:val="28"/>
          <w:szCs w:val="28"/>
        </w:rPr>
        <w:t>.00元</w:t>
      </w:r>
    </w:p>
    <w:p w14:paraId="69724E63">
      <w:pPr>
        <w:numPr>
          <w:ilvl w:val="0"/>
          <w:numId w:val="1"/>
        </w:numPr>
        <w:spacing w:line="360" w:lineRule="auto"/>
        <w:ind w:left="210" w:firstLine="562" w:firstLineChars="200"/>
        <w:rPr>
          <w:rFonts w:ascii="宋体" w:hAnsi="宋体" w:cs="宋体"/>
          <w:sz w:val="28"/>
          <w:szCs w:val="28"/>
        </w:rPr>
      </w:pPr>
      <w:r>
        <w:rPr>
          <w:rFonts w:hint="eastAsia" w:ascii="宋体" w:hAnsi="宋体" w:eastAsia="宋体" w:cs="宋体"/>
          <w:b/>
          <w:bCs/>
          <w:sz w:val="28"/>
          <w:szCs w:val="28"/>
        </w:rPr>
        <w:t>服务地址:</w:t>
      </w:r>
      <w:r>
        <w:rPr>
          <w:rFonts w:hint="eastAsia" w:ascii="宋体" w:hAnsi="宋体" w:cs="宋体"/>
          <w:sz w:val="28"/>
          <w:szCs w:val="28"/>
        </w:rPr>
        <w:t xml:space="preserve"> </w:t>
      </w:r>
      <w:bookmarkStart w:id="69" w:name="_GoBack"/>
      <w:r>
        <w:rPr>
          <w:rFonts w:hint="eastAsia" w:ascii="宋体" w:hAnsi="宋体" w:eastAsia="宋体" w:cs="宋体"/>
          <w:sz w:val="28"/>
          <w:szCs w:val="28"/>
        </w:rPr>
        <w:t>广州市海珠区赤沙路 15 号</w:t>
      </w:r>
      <w:r>
        <w:rPr>
          <w:rFonts w:hint="eastAsia" w:ascii="宋体" w:hAnsi="宋体" w:eastAsia="宋体" w:cs="宋体"/>
          <w:sz w:val="28"/>
          <w:szCs w:val="28"/>
          <w:lang w:val="en-US" w:eastAsia="zh-CN"/>
        </w:rPr>
        <w:t>广东生态工程职业学院海珠校区</w:t>
      </w:r>
      <w:bookmarkEnd w:id="69"/>
    </w:p>
    <w:p w14:paraId="48F4C86D">
      <w:pPr>
        <w:numPr>
          <w:ilvl w:val="0"/>
          <w:numId w:val="1"/>
        </w:numPr>
        <w:spacing w:line="360" w:lineRule="auto"/>
        <w:ind w:left="210"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6E203C70">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供应商须知：</w:t>
      </w:r>
    </w:p>
    <w:p w14:paraId="4613FE94">
      <w:pPr>
        <w:numPr>
          <w:ilvl w:val="0"/>
          <w:numId w:val="2"/>
        </w:numPr>
        <w:spacing w:line="360" w:lineRule="auto"/>
        <w:ind w:left="210"/>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0B3B79DE">
      <w:pPr>
        <w:numPr>
          <w:ilvl w:val="0"/>
          <w:numId w:val="3"/>
        </w:numPr>
        <w:spacing w:line="360" w:lineRule="auto"/>
        <w:ind w:left="210" w:firstLine="560" w:firstLineChars="200"/>
        <w:rPr>
          <w:rFonts w:ascii="宋体" w:hAnsi="宋体" w:cs="宋体"/>
          <w:sz w:val="28"/>
          <w:szCs w:val="28"/>
        </w:rPr>
      </w:pPr>
      <w:bookmarkStart w:id="3" w:name="OLE_LINK45"/>
      <w:bookmarkStart w:id="4" w:name="OLE_LINK57"/>
      <w:bookmarkStart w:id="5" w:name="OLE_LINK58"/>
      <w:bookmarkStart w:id="6" w:name="OLE_LINK44"/>
      <w:bookmarkStart w:id="7" w:name="OLE_LINK43"/>
      <w:r>
        <w:rPr>
          <w:rFonts w:hint="eastAsia" w:ascii="宋体" w:hAnsi="宋体" w:cs="宋体"/>
          <w:sz w:val="28"/>
          <w:szCs w:val="28"/>
        </w:rPr>
        <w:t>投标人是具有独立承担民事责任能力的法人或其他组织；（提供营业执照、税务登记证及组织机构代码证、或三证合一复印件）；</w:t>
      </w:r>
    </w:p>
    <w:bookmarkEnd w:id="3"/>
    <w:p w14:paraId="559B54E9">
      <w:pPr>
        <w:numPr>
          <w:ilvl w:val="0"/>
          <w:numId w:val="3"/>
        </w:numPr>
        <w:spacing w:line="360" w:lineRule="auto"/>
        <w:ind w:left="210" w:firstLine="560" w:firstLineChars="200"/>
        <w:rPr>
          <w:rFonts w:ascii="宋体" w:hAnsi="宋体" w:cs="宋体"/>
          <w:sz w:val="28"/>
          <w:szCs w:val="28"/>
        </w:rPr>
      </w:pPr>
      <w:bookmarkStart w:id="8" w:name="OLE_LINK50"/>
      <w:bookmarkStart w:id="9" w:name="OLE_LINK49"/>
      <w:bookmarkStart w:id="10" w:name="OLE_LINK46"/>
      <w:r>
        <w:rPr>
          <w:rFonts w:hint="eastAsia" w:ascii="宋体" w:hAnsi="宋体" w:cs="宋体"/>
          <w:sz w:val="28"/>
          <w:szCs w:val="28"/>
        </w:rPr>
        <w:t>具有履行合同所必需的设备和专业技术能力</w:t>
      </w:r>
      <w:bookmarkEnd w:id="8"/>
      <w:bookmarkStart w:id="11" w:name="OLE_LINK15"/>
      <w:bookmarkStart w:id="12" w:name="OLE_LINK14"/>
      <w:r>
        <w:rPr>
          <w:rFonts w:hint="eastAsia" w:ascii="宋体" w:hAnsi="宋体" w:cs="宋体"/>
          <w:sz w:val="28"/>
          <w:szCs w:val="28"/>
        </w:rPr>
        <w:t>；</w:t>
      </w:r>
      <w:bookmarkEnd w:id="11"/>
      <w:bookmarkEnd w:id="12"/>
    </w:p>
    <w:bookmarkEnd w:id="9"/>
    <w:bookmarkEnd w:id="10"/>
    <w:p w14:paraId="36622558">
      <w:pPr>
        <w:numPr>
          <w:ilvl w:val="0"/>
          <w:numId w:val="3"/>
        </w:numPr>
        <w:spacing w:line="360" w:lineRule="auto"/>
        <w:ind w:left="210" w:firstLine="560" w:firstLineChars="200"/>
        <w:rPr>
          <w:rFonts w:ascii="宋体" w:hAnsi="宋体" w:cs="宋体"/>
          <w:sz w:val="28"/>
          <w:szCs w:val="28"/>
        </w:rPr>
      </w:pPr>
      <w:bookmarkStart w:id="13" w:name="OLE_LINK52"/>
      <w:bookmarkStart w:id="14" w:name="OLE_LINK65"/>
      <w:bookmarkStart w:id="15" w:name="OLE_LINK64"/>
      <w:bookmarkStart w:id="16" w:name="OLE_LINK51"/>
      <w:r>
        <w:rPr>
          <w:rFonts w:hint="eastAsia" w:ascii="宋体" w:hAnsi="宋体" w:cs="宋体"/>
          <w:sz w:val="28"/>
          <w:szCs w:val="28"/>
        </w:rPr>
        <w:t>投标人具有依法纳税和社会保障资金的良好记录</w:t>
      </w:r>
      <w:bookmarkEnd w:id="13"/>
      <w:bookmarkEnd w:id="14"/>
      <w:bookmarkEnd w:id="15"/>
      <w:bookmarkEnd w:id="16"/>
      <w:r>
        <w:rPr>
          <w:rFonts w:hint="eastAsia" w:ascii="宋体" w:hAnsi="宋体" w:cs="宋体"/>
          <w:sz w:val="28"/>
          <w:szCs w:val="28"/>
        </w:rPr>
        <w:t>；</w:t>
      </w:r>
    </w:p>
    <w:p w14:paraId="5AA15265">
      <w:pPr>
        <w:numPr>
          <w:ilvl w:val="0"/>
          <w:numId w:val="3"/>
        </w:numPr>
        <w:spacing w:line="360" w:lineRule="auto"/>
        <w:ind w:left="210" w:firstLine="560" w:firstLineChars="200"/>
        <w:rPr>
          <w:rFonts w:ascii="宋体" w:hAnsi="宋体" w:cs="宋体"/>
          <w:sz w:val="28"/>
          <w:szCs w:val="28"/>
        </w:rPr>
      </w:pPr>
      <w:bookmarkStart w:id="17" w:name="OLE_LINK66"/>
      <w:bookmarkStart w:id="18" w:name="OLE_LINK67"/>
      <w:r>
        <w:rPr>
          <w:rFonts w:hint="eastAsia" w:ascii="宋体" w:hAnsi="宋体" w:cs="宋体"/>
          <w:sz w:val="28"/>
          <w:szCs w:val="28"/>
        </w:rPr>
        <w:t>具有良好的商业信誉和健全的财务会计制度</w:t>
      </w:r>
      <w:bookmarkEnd w:id="17"/>
      <w:bookmarkEnd w:id="18"/>
      <w:bookmarkStart w:id="19" w:name="OLE_LINK22"/>
      <w:r>
        <w:rPr>
          <w:rFonts w:hint="eastAsia" w:ascii="宋体" w:hAnsi="宋体" w:cs="宋体"/>
          <w:sz w:val="28"/>
          <w:szCs w:val="28"/>
        </w:rPr>
        <w:t>；</w:t>
      </w:r>
      <w:bookmarkEnd w:id="19"/>
    </w:p>
    <w:p w14:paraId="2210BEB1">
      <w:pPr>
        <w:numPr>
          <w:ilvl w:val="0"/>
          <w:numId w:val="3"/>
        </w:numPr>
        <w:spacing w:line="360" w:lineRule="auto"/>
        <w:ind w:left="210" w:firstLine="560" w:firstLineChars="200"/>
        <w:rPr>
          <w:rFonts w:ascii="宋体" w:hAnsi="宋体" w:cs="宋体"/>
          <w:sz w:val="28"/>
          <w:szCs w:val="28"/>
        </w:rPr>
      </w:pPr>
      <w:bookmarkStart w:id="20" w:name="OLE_LINK69"/>
      <w:bookmarkStart w:id="21" w:name="OLE_LINK68"/>
      <w:r>
        <w:rPr>
          <w:rFonts w:hint="eastAsia" w:ascii="宋体" w:hAnsi="宋体" w:cs="宋体"/>
          <w:sz w:val="28"/>
          <w:szCs w:val="28"/>
        </w:rPr>
        <w:t>参加政府采购活动前三年内，在经营活动中无重大违法记录</w:t>
      </w:r>
      <w:bookmarkEnd w:id="20"/>
      <w:bookmarkEnd w:id="21"/>
      <w:r>
        <w:rPr>
          <w:rFonts w:hint="eastAsia" w:ascii="宋体" w:hAnsi="宋体" w:cs="宋体"/>
          <w:sz w:val="28"/>
          <w:szCs w:val="28"/>
        </w:rPr>
        <w:t>；</w:t>
      </w:r>
    </w:p>
    <w:bookmarkEnd w:id="4"/>
    <w:bookmarkEnd w:id="5"/>
    <w:p w14:paraId="2EC82984">
      <w:pPr>
        <w:numPr>
          <w:ilvl w:val="0"/>
          <w:numId w:val="3"/>
        </w:numPr>
        <w:spacing w:line="360" w:lineRule="auto"/>
        <w:ind w:left="210" w:firstLine="560" w:firstLineChars="200"/>
        <w:rPr>
          <w:rFonts w:ascii="宋体" w:hAnsi="宋体" w:cs="宋体"/>
          <w:sz w:val="28"/>
          <w:szCs w:val="28"/>
        </w:rPr>
      </w:pPr>
      <w:bookmarkStart w:id="22" w:name="OLE_LINK59"/>
      <w:bookmarkStart w:id="23" w:name="OLE_LINK70"/>
      <w:bookmarkStart w:id="24" w:name="OLE_LINK60"/>
      <w:r>
        <w:rPr>
          <w:rFonts w:hint="eastAsia" w:ascii="宋体" w:hAnsi="宋体" w:cs="宋体"/>
          <w:sz w:val="28"/>
          <w:szCs w:val="28"/>
        </w:rPr>
        <w:t>经营范围包含图书档案数字化或图书馆服务,</w:t>
      </w:r>
      <w:bookmarkStart w:id="25" w:name="OLE_LINK5"/>
      <w:bookmarkStart w:id="26" w:name="OLE_LINK6"/>
      <w:r>
        <w:rPr>
          <w:rFonts w:hint="eastAsia" w:ascii="宋体" w:hAnsi="宋体" w:cs="宋体"/>
          <w:sz w:val="28"/>
          <w:szCs w:val="28"/>
        </w:rPr>
        <w:t>具有图书档案数字化或图书馆服务类项目经验（需附2个同类案例）</w:t>
      </w:r>
      <w:bookmarkEnd w:id="22"/>
      <w:bookmarkEnd w:id="23"/>
      <w:bookmarkEnd w:id="24"/>
      <w:bookmarkEnd w:id="25"/>
      <w:bookmarkEnd w:id="26"/>
      <w:bookmarkStart w:id="27" w:name="OLE_LINK47"/>
      <w:bookmarkStart w:id="28" w:name="OLE_LINK48"/>
      <w:r>
        <w:rPr>
          <w:rFonts w:hint="eastAsia" w:ascii="宋体" w:hAnsi="宋体" w:cs="宋体"/>
          <w:sz w:val="28"/>
          <w:szCs w:val="28"/>
        </w:rPr>
        <w:t>；</w:t>
      </w:r>
      <w:bookmarkEnd w:id="27"/>
      <w:bookmarkEnd w:id="28"/>
    </w:p>
    <w:p w14:paraId="2F035A3F">
      <w:pPr>
        <w:numPr>
          <w:ilvl w:val="0"/>
          <w:numId w:val="3"/>
        </w:numPr>
        <w:spacing w:line="360" w:lineRule="auto"/>
        <w:ind w:left="210" w:firstLine="560" w:firstLineChars="200"/>
        <w:rPr>
          <w:rFonts w:ascii="宋体" w:hAnsi="宋体" w:cs="宋体"/>
          <w:sz w:val="28"/>
          <w:szCs w:val="28"/>
        </w:rPr>
      </w:pPr>
      <w:bookmarkStart w:id="29" w:name="OLE_LINK7"/>
      <w:bookmarkStart w:id="30" w:name="OLE_LINK61"/>
      <w:bookmarkStart w:id="31" w:name="OLE_LINK71"/>
      <w:bookmarkStart w:id="32" w:name="OLE_LINK3"/>
      <w:bookmarkStart w:id="33" w:name="OLE_LINK4"/>
      <w:r>
        <w:rPr>
          <w:rFonts w:hint="eastAsia" w:ascii="宋体" w:hAnsi="宋体" w:cs="宋体"/>
          <w:sz w:val="28"/>
          <w:szCs w:val="28"/>
        </w:rPr>
        <w:t>提供数据安全承诺书及保密协议</w:t>
      </w:r>
      <w:bookmarkEnd w:id="29"/>
      <w:bookmarkEnd w:id="30"/>
      <w:bookmarkEnd w:id="31"/>
      <w:bookmarkStart w:id="34" w:name="OLE_LINK53"/>
      <w:bookmarkStart w:id="35" w:name="OLE_LINK54"/>
      <w:r>
        <w:rPr>
          <w:rFonts w:hint="eastAsia" w:ascii="宋体" w:hAnsi="宋体" w:cs="宋体"/>
          <w:sz w:val="28"/>
          <w:szCs w:val="28"/>
        </w:rPr>
        <w:t>；</w:t>
      </w:r>
      <w:bookmarkEnd w:id="34"/>
      <w:bookmarkEnd w:id="35"/>
    </w:p>
    <w:bookmarkEnd w:id="32"/>
    <w:bookmarkEnd w:id="33"/>
    <w:p w14:paraId="498D0118">
      <w:pPr>
        <w:numPr>
          <w:ilvl w:val="0"/>
          <w:numId w:val="3"/>
        </w:numPr>
        <w:spacing w:line="360" w:lineRule="auto"/>
        <w:ind w:left="210" w:firstLine="560" w:firstLineChars="200"/>
        <w:rPr>
          <w:rFonts w:ascii="宋体" w:hAnsi="宋体" w:cs="宋体"/>
          <w:sz w:val="28"/>
          <w:szCs w:val="28"/>
        </w:rPr>
      </w:pPr>
      <w:bookmarkStart w:id="36" w:name="OLE_LINK17"/>
      <w:bookmarkStart w:id="37" w:name="OLE_LINK63"/>
      <w:bookmarkStart w:id="38" w:name="OLE_LINK62"/>
      <w:bookmarkStart w:id="39" w:name="OLE_LINK72"/>
      <w:r>
        <w:rPr>
          <w:rFonts w:hint="eastAsia" w:ascii="宋体" w:hAnsi="宋体" w:cs="宋体"/>
          <w:sz w:val="28"/>
          <w:szCs w:val="28"/>
        </w:rPr>
        <w:t>项目团队须包含图书情报专业人员（提供资质证明）</w:t>
      </w:r>
      <w:bookmarkEnd w:id="36"/>
      <w:bookmarkEnd w:id="37"/>
      <w:bookmarkEnd w:id="38"/>
      <w:bookmarkEnd w:id="39"/>
      <w:r>
        <w:rPr>
          <w:rFonts w:hint="eastAsia" w:ascii="宋体" w:hAnsi="宋体" w:cs="宋体"/>
          <w:sz w:val="28"/>
          <w:szCs w:val="28"/>
        </w:rPr>
        <w:t>。</w:t>
      </w:r>
    </w:p>
    <w:bookmarkEnd w:id="6"/>
    <w:bookmarkEnd w:id="7"/>
    <w:p w14:paraId="5543E6D4">
      <w:pPr>
        <w:numPr>
          <w:ilvl w:val="0"/>
          <w:numId w:val="2"/>
        </w:numPr>
        <w:spacing w:line="360" w:lineRule="auto"/>
        <w:ind w:left="210"/>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6B02D111">
      <w:pPr>
        <w:numPr>
          <w:ilvl w:val="0"/>
          <w:numId w:val="2"/>
        </w:numPr>
        <w:spacing w:line="360" w:lineRule="auto"/>
        <w:ind w:left="210"/>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449848D9">
      <w:pPr>
        <w:numPr>
          <w:ilvl w:val="0"/>
          <w:numId w:val="2"/>
        </w:numPr>
        <w:spacing w:line="360" w:lineRule="auto"/>
        <w:ind w:left="210"/>
        <w:rPr>
          <w:rFonts w:ascii="宋体" w:hAnsi="宋体" w:cs="宋体"/>
          <w:sz w:val="28"/>
          <w:szCs w:val="28"/>
        </w:rPr>
      </w:pPr>
      <w:r>
        <w:rPr>
          <w:rFonts w:hint="eastAsia" w:ascii="宋体" w:hAnsi="宋体" w:cs="宋体"/>
          <w:sz w:val="28"/>
          <w:szCs w:val="28"/>
        </w:rPr>
        <w:t>本项目不接受联合体竞价。</w:t>
      </w:r>
    </w:p>
    <w:p w14:paraId="5C9392B4">
      <w:pPr>
        <w:numPr>
          <w:ilvl w:val="0"/>
          <w:numId w:val="2"/>
        </w:numPr>
        <w:spacing w:line="360" w:lineRule="auto"/>
        <w:ind w:left="210"/>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报价供应商截止递交报价文件的时间为2025年4月7日下午3点，报价文件必须密封，否则一律拒收。报价供应商可通过快递寄送（必须用顺丰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w:t>
      </w:r>
    </w:p>
    <w:p w14:paraId="7BF04585">
      <w:pPr>
        <w:numPr>
          <w:ilvl w:val="0"/>
          <w:numId w:val="2"/>
        </w:numPr>
        <w:spacing w:line="360" w:lineRule="auto"/>
        <w:ind w:left="210"/>
      </w:pPr>
      <w:r>
        <w:rPr>
          <w:rFonts w:hint="eastAsia" w:asciiTheme="minorEastAsia" w:hAnsiTheme="minorEastAsia" w:cstheme="minorEastAsia"/>
          <w:color w:val="000000" w:themeColor="text1"/>
          <w:sz w:val="28"/>
          <w:szCs w:val="28"/>
        </w:rPr>
        <w:t>投标联系人：张老师  联系方式：</w:t>
      </w:r>
      <w:bookmarkStart w:id="40" w:name="OLE_LINK74"/>
      <w:bookmarkStart w:id="41" w:name="OLE_LINK73"/>
      <w:r>
        <w:rPr>
          <w:rFonts w:hint="eastAsia" w:asciiTheme="minorEastAsia" w:hAnsiTheme="minorEastAsia" w:cstheme="minorEastAsia"/>
          <w:color w:val="000000" w:themeColor="text1"/>
          <w:sz w:val="28"/>
          <w:szCs w:val="28"/>
        </w:rPr>
        <w:t>13710623224</w:t>
      </w:r>
    </w:p>
    <w:bookmarkEnd w:id="40"/>
    <w:bookmarkEnd w:id="41"/>
    <w:p w14:paraId="770DD490">
      <w:pPr>
        <w:numPr>
          <w:ilvl w:val="0"/>
          <w:numId w:val="2"/>
        </w:numPr>
        <w:spacing w:line="360" w:lineRule="auto"/>
        <w:ind w:left="210"/>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14:paraId="6DE0229C">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项目内容及要求:</w:t>
      </w:r>
    </w:p>
    <w:p w14:paraId="3BDC664D">
      <w:pPr>
        <w:spacing w:line="360" w:lineRule="auto"/>
        <w:ind w:left="420" w:leftChars="200"/>
        <w:rPr>
          <w:rFonts w:ascii="宋体" w:hAnsi="宋体" w:cs="宋体"/>
          <w:b/>
          <w:bCs/>
          <w:sz w:val="28"/>
          <w:szCs w:val="28"/>
        </w:rPr>
      </w:pPr>
      <w:r>
        <w:rPr>
          <w:rFonts w:hint="eastAsia" w:ascii="宋体" w:hAnsi="宋体" w:cs="宋体"/>
          <w:b/>
          <w:bCs/>
          <w:sz w:val="28"/>
          <w:szCs w:val="28"/>
        </w:rPr>
        <w:t>（一）项目内容</w:t>
      </w:r>
    </w:p>
    <w:tbl>
      <w:tblPr>
        <w:tblStyle w:val="11"/>
        <w:tblW w:w="4946" w:type="pct"/>
        <w:jc w:val="center"/>
        <w:tblLayout w:type="autofit"/>
        <w:tblCellMar>
          <w:top w:w="0" w:type="dxa"/>
          <w:left w:w="0" w:type="dxa"/>
          <w:bottom w:w="0" w:type="dxa"/>
          <w:right w:w="0" w:type="dxa"/>
        </w:tblCellMar>
      </w:tblPr>
      <w:tblGrid>
        <w:gridCol w:w="1226"/>
        <w:gridCol w:w="7000"/>
      </w:tblGrid>
      <w:tr w14:paraId="0980F7EC">
        <w:tblPrEx>
          <w:tblCellMar>
            <w:top w:w="0" w:type="dxa"/>
            <w:left w:w="0" w:type="dxa"/>
            <w:bottom w:w="0" w:type="dxa"/>
            <w:right w:w="0" w:type="dxa"/>
          </w:tblCellMar>
        </w:tblPrEx>
        <w:trPr>
          <w:trHeight w:val="406" w:hRule="atLeast"/>
          <w:jc w:val="center"/>
        </w:trPr>
        <w:tc>
          <w:tcPr>
            <w:tcW w:w="7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BACF3">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服务内容</w:t>
            </w:r>
          </w:p>
        </w:tc>
        <w:tc>
          <w:tcPr>
            <w:tcW w:w="4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1BCF9">
            <w:pPr>
              <w:widowControl/>
              <w:jc w:val="center"/>
              <w:textAlignment w:val="center"/>
              <w:rPr>
                <w:rFonts w:ascii="仿宋" w:hAnsi="仿宋" w:eastAsia="仿宋" w:cs="仿宋"/>
                <w:b/>
                <w:bCs/>
                <w:color w:val="000000"/>
                <w:sz w:val="24"/>
              </w:rPr>
            </w:pPr>
            <w:bookmarkStart w:id="42" w:name="OLE_LINK23"/>
            <w:bookmarkStart w:id="43" w:name="OLE_LINK24"/>
            <w:r>
              <w:rPr>
                <w:rFonts w:hint="eastAsia" w:ascii="仿宋" w:hAnsi="仿宋" w:eastAsia="仿宋" w:cs="仿宋"/>
                <w:b/>
                <w:bCs/>
                <w:color w:val="000000"/>
                <w:kern w:val="0"/>
                <w:sz w:val="24"/>
              </w:rPr>
              <w:t>具体要求</w:t>
            </w:r>
            <w:bookmarkEnd w:id="42"/>
            <w:bookmarkEnd w:id="43"/>
          </w:p>
        </w:tc>
      </w:tr>
      <w:tr w14:paraId="6B4D3420">
        <w:tblPrEx>
          <w:tblCellMar>
            <w:top w:w="0" w:type="dxa"/>
            <w:left w:w="0" w:type="dxa"/>
            <w:bottom w:w="0" w:type="dxa"/>
            <w:right w:w="0" w:type="dxa"/>
          </w:tblCellMar>
        </w:tblPrEx>
        <w:trPr>
          <w:trHeight w:val="2400" w:hRule="atLeast"/>
          <w:jc w:val="center"/>
        </w:trPr>
        <w:tc>
          <w:tcPr>
            <w:tcW w:w="7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F0DAF">
            <w:pPr>
              <w:widowControl/>
              <w:jc w:val="center"/>
              <w:textAlignment w:val="center"/>
              <w:rPr>
                <w:rFonts w:ascii="仿宋" w:hAnsi="仿宋" w:eastAsia="仿宋" w:cs="仿宋"/>
                <w:kern w:val="0"/>
                <w:sz w:val="24"/>
              </w:rPr>
            </w:pPr>
            <w:r>
              <w:rPr>
                <w:rFonts w:hint="eastAsia" w:ascii="仿宋" w:hAnsi="仿宋" w:eastAsia="仿宋" w:cs="仿宋"/>
                <w:kern w:val="0"/>
                <w:sz w:val="24"/>
              </w:rPr>
              <w:t>广东生态工程职业学院海珠校区图书馆图书盘点及数据整理服务项目</w:t>
            </w:r>
          </w:p>
        </w:tc>
        <w:tc>
          <w:tcPr>
            <w:tcW w:w="4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5A5DE">
            <w:pPr>
              <w:ind w:firstLine="120" w:firstLineChars="50"/>
              <w:rPr>
                <w:rFonts w:ascii="仿宋" w:hAnsi="仿宋" w:eastAsia="仿宋" w:cs="仿宋"/>
                <w:sz w:val="24"/>
              </w:rPr>
            </w:pPr>
            <w:bookmarkStart w:id="44" w:name="OLE_LINK10"/>
            <w:bookmarkStart w:id="45" w:name="OLE_LINK11"/>
            <w:bookmarkStart w:id="46" w:name="OLE_LINK26"/>
            <w:bookmarkStart w:id="47" w:name="OLE_LINK27"/>
            <w:r>
              <w:rPr>
                <w:rFonts w:hint="eastAsia" w:ascii="仿宋" w:hAnsi="仿宋" w:eastAsia="仿宋" w:cs="仿宋"/>
                <w:sz w:val="24"/>
              </w:rPr>
              <w:t>（一）盘点范围</w:t>
            </w:r>
          </w:p>
          <w:p w14:paraId="2DDFEC29">
            <w:pPr>
              <w:ind w:firstLine="120" w:firstLineChars="50"/>
              <w:rPr>
                <w:rFonts w:ascii="仿宋" w:hAnsi="仿宋" w:eastAsia="仿宋" w:cs="仿宋"/>
                <w:sz w:val="24"/>
              </w:rPr>
            </w:pPr>
            <w:r>
              <w:rPr>
                <w:rFonts w:hint="eastAsia" w:ascii="仿宋" w:hAnsi="仿宋" w:eastAsia="仿宋" w:cs="仿宋"/>
                <w:sz w:val="24"/>
              </w:rPr>
              <w:t>1.覆盖区域：海珠校区图书馆流通书库6排在架图书及集装箱打包图书。</w:t>
            </w:r>
          </w:p>
          <w:p w14:paraId="30164C89">
            <w:pPr>
              <w:ind w:firstLine="120" w:firstLineChars="50"/>
              <w:rPr>
                <w:rFonts w:ascii="仿宋" w:hAnsi="仿宋" w:eastAsia="仿宋" w:cs="仿宋"/>
                <w:sz w:val="24"/>
              </w:rPr>
            </w:pPr>
            <w:r>
              <w:rPr>
                <w:rFonts w:hint="eastAsia" w:ascii="仿宋" w:hAnsi="仿宋" w:eastAsia="仿宋" w:cs="仿宋"/>
                <w:sz w:val="24"/>
              </w:rPr>
              <w:t>2.数量规模：预计涉及实体图书约5.3万册。</w:t>
            </w:r>
          </w:p>
          <w:p w14:paraId="6CD2E873">
            <w:pPr>
              <w:ind w:firstLine="120" w:firstLineChars="50"/>
              <w:rPr>
                <w:rFonts w:ascii="仿宋" w:hAnsi="仿宋" w:eastAsia="仿宋" w:cs="仿宋"/>
                <w:sz w:val="24"/>
              </w:rPr>
            </w:pPr>
            <w:r>
              <w:rPr>
                <w:rFonts w:hint="eastAsia" w:ascii="仿宋" w:hAnsi="仿宋" w:eastAsia="仿宋" w:cs="仿宋"/>
                <w:sz w:val="24"/>
              </w:rPr>
              <w:t>（二）</w:t>
            </w:r>
            <w:bookmarkStart w:id="48" w:name="OLE_LINK19"/>
            <w:bookmarkStart w:id="49" w:name="OLE_LINK20"/>
            <w:r>
              <w:rPr>
                <w:rFonts w:hint="eastAsia" w:ascii="仿宋" w:hAnsi="仿宋" w:eastAsia="仿宋" w:cs="仿宋"/>
                <w:sz w:val="24"/>
              </w:rPr>
              <w:t>工作内容</w:t>
            </w:r>
          </w:p>
          <w:bookmarkEnd w:id="44"/>
          <w:bookmarkEnd w:id="45"/>
          <w:bookmarkEnd w:id="48"/>
          <w:bookmarkEnd w:id="49"/>
          <w:p w14:paraId="2B58BC0C">
            <w:pPr>
              <w:adjustRightInd w:val="0"/>
              <w:snapToGrid w:val="0"/>
              <w:spacing w:line="312" w:lineRule="auto"/>
              <w:ind w:left="210"/>
              <w:rPr>
                <w:rFonts w:ascii="仿宋" w:hAnsi="仿宋" w:eastAsia="仿宋" w:cs="仿宋"/>
                <w:sz w:val="24"/>
              </w:rPr>
            </w:pPr>
            <w:r>
              <w:rPr>
                <w:rFonts w:hint="eastAsia" w:ascii="仿宋" w:hAnsi="仿宋" w:eastAsia="仿宋" w:cs="仿宋"/>
                <w:sz w:val="24"/>
              </w:rPr>
              <w:t>1.图书整理：按《中国图书馆分类法》（第五版）进行物理归类。</w:t>
            </w:r>
          </w:p>
          <w:p w14:paraId="74FEC49A">
            <w:pPr>
              <w:adjustRightInd w:val="0"/>
              <w:snapToGrid w:val="0"/>
              <w:spacing w:line="312" w:lineRule="auto"/>
              <w:ind w:left="210"/>
              <w:rPr>
                <w:rFonts w:ascii="仿宋" w:hAnsi="仿宋" w:eastAsia="仿宋" w:cs="仿宋"/>
                <w:sz w:val="24"/>
              </w:rPr>
            </w:pPr>
            <w:r>
              <w:rPr>
                <w:rFonts w:hint="eastAsia" w:ascii="仿宋" w:hAnsi="仿宋" w:eastAsia="仿宋" w:cs="仿宋"/>
                <w:sz w:val="24"/>
              </w:rPr>
              <w:t>2.数据采集：使用专业的数据采集设备或利用图书管理系统逐册采集图书。</w:t>
            </w:r>
          </w:p>
          <w:p w14:paraId="1B105BFF">
            <w:pPr>
              <w:adjustRightInd w:val="0"/>
              <w:snapToGrid w:val="0"/>
              <w:spacing w:line="312" w:lineRule="auto"/>
              <w:ind w:left="210"/>
              <w:rPr>
                <w:rFonts w:ascii="仿宋" w:hAnsi="仿宋" w:eastAsia="仿宋" w:cs="仿宋"/>
                <w:sz w:val="24"/>
              </w:rPr>
            </w:pPr>
            <w:r>
              <w:rPr>
                <w:rFonts w:hint="eastAsia" w:ascii="仿宋" w:hAnsi="仿宋" w:eastAsia="仿宋" w:cs="仿宋"/>
                <w:sz w:val="24"/>
              </w:rPr>
              <w:t xml:space="preserve">3.数据核对与修正：以实体书数据为基准，修正图书管理系统数据，建立准确的书目数据库。 </w:t>
            </w:r>
          </w:p>
          <w:p w14:paraId="551F9762">
            <w:pPr>
              <w:adjustRightInd w:val="0"/>
              <w:snapToGrid w:val="0"/>
              <w:spacing w:line="312" w:lineRule="auto"/>
              <w:ind w:left="210"/>
              <w:rPr>
                <w:rFonts w:ascii="仿宋" w:hAnsi="仿宋" w:eastAsia="仿宋" w:cs="仿宋"/>
                <w:sz w:val="24"/>
              </w:rPr>
            </w:pPr>
            <w:r>
              <w:rPr>
                <w:rFonts w:hint="eastAsia" w:ascii="仿宋" w:hAnsi="仿宋" w:eastAsia="仿宋" w:cs="仿宋"/>
                <w:sz w:val="24"/>
              </w:rPr>
              <w:t>4.生成图书采集清单及三套数据（财务资产、系统数据、实体数据）的《差异分析报告》。</w:t>
            </w:r>
          </w:p>
          <w:p w14:paraId="0563944A">
            <w:pPr>
              <w:adjustRightInd w:val="0"/>
              <w:snapToGrid w:val="0"/>
              <w:spacing w:line="312" w:lineRule="auto"/>
              <w:ind w:left="210"/>
              <w:rPr>
                <w:rFonts w:ascii="仿宋" w:hAnsi="仿宋" w:eastAsia="仿宋" w:cs="仿宋"/>
                <w:sz w:val="24"/>
              </w:rPr>
            </w:pPr>
            <w:r>
              <w:rPr>
                <w:rFonts w:hint="eastAsia" w:ascii="仿宋" w:hAnsi="仿宋" w:eastAsia="仿宋" w:cs="仿宋"/>
                <w:sz w:val="24"/>
              </w:rPr>
              <w:t>5.打包搬迁</w:t>
            </w:r>
          </w:p>
          <w:p w14:paraId="178112E9">
            <w:pPr>
              <w:adjustRightInd w:val="0"/>
              <w:snapToGrid w:val="0"/>
              <w:spacing w:line="312" w:lineRule="auto"/>
              <w:ind w:left="210"/>
              <w:rPr>
                <w:rFonts w:ascii="仿宋" w:hAnsi="仿宋" w:eastAsia="仿宋" w:cs="仿宋"/>
                <w:sz w:val="24"/>
              </w:rPr>
            </w:pPr>
            <w:r>
              <w:rPr>
                <w:rFonts w:hint="eastAsia" w:ascii="仿宋" w:hAnsi="仿宋" w:eastAsia="仿宋" w:cs="仿宋"/>
                <w:sz w:val="24"/>
              </w:rPr>
              <w:t>根据馆藏位置分情况处理图书：</w:t>
            </w:r>
          </w:p>
          <w:p w14:paraId="20FB9F77">
            <w:pPr>
              <w:adjustRightInd w:val="0"/>
              <w:snapToGrid w:val="0"/>
              <w:spacing w:line="312" w:lineRule="auto"/>
              <w:ind w:left="210"/>
              <w:rPr>
                <w:rFonts w:ascii="仿宋" w:hAnsi="仿宋" w:eastAsia="仿宋" w:cs="仿宋"/>
                <w:sz w:val="24"/>
              </w:rPr>
            </w:pPr>
            <w:bookmarkStart w:id="50" w:name="OLE_LINK2"/>
            <w:bookmarkStart w:id="51" w:name="OLE_LINK1"/>
            <w:bookmarkStart w:id="52" w:name="OLE_LINK16"/>
            <w:r>
              <w:rPr>
                <w:rFonts w:hint="eastAsia" w:ascii="仿宋" w:hAnsi="仿宋" w:eastAsia="仿宋" w:cs="仿宋"/>
                <w:sz w:val="24"/>
              </w:rPr>
              <w:t>（1）在架图书：清点后按原架位归置，确保可追溯性。</w:t>
            </w:r>
          </w:p>
          <w:p w14:paraId="059A6E5F">
            <w:pPr>
              <w:adjustRightInd w:val="0"/>
              <w:snapToGrid w:val="0"/>
              <w:spacing w:line="312" w:lineRule="auto"/>
              <w:ind w:left="210"/>
              <w:rPr>
                <w:rFonts w:ascii="仿宋" w:hAnsi="仿宋" w:eastAsia="仿宋" w:cs="仿宋"/>
                <w:sz w:val="24"/>
              </w:rPr>
            </w:pPr>
            <w:r>
              <w:rPr>
                <w:rFonts w:hint="eastAsia" w:ascii="仿宋" w:hAnsi="仿宋" w:eastAsia="仿宋" w:cs="仿宋"/>
                <w:sz w:val="24"/>
              </w:rPr>
              <w:t>（2）集装箱图书：按中图法22大类分类打包，使用防水牛皮纸打包。包装标注分类号区间、册数、装包清单。</w:t>
            </w:r>
          </w:p>
          <w:p w14:paraId="76BBCECD">
            <w:pPr>
              <w:adjustRightInd w:val="0"/>
              <w:snapToGrid w:val="0"/>
              <w:spacing w:line="312" w:lineRule="auto"/>
              <w:ind w:left="210"/>
              <w:rPr>
                <w:rFonts w:ascii="仿宋" w:hAnsi="仿宋" w:eastAsia="仿宋" w:cs="仿宋"/>
                <w:sz w:val="24"/>
              </w:rPr>
            </w:pPr>
            <w:r>
              <w:rPr>
                <w:rFonts w:hint="eastAsia" w:ascii="仿宋" w:hAnsi="仿宋" w:eastAsia="仿宋" w:cs="仿宋"/>
                <w:sz w:val="24"/>
              </w:rPr>
              <w:t>（3）搬迁要求：搬运至天河校区图书馆（广州市天河区广汕一路297号），图书损坏率≤0.01%，提供打包单、运输签收单及天河校区接收确认凭证。</w:t>
            </w:r>
            <w:bookmarkEnd w:id="50"/>
            <w:bookmarkEnd w:id="51"/>
            <w:bookmarkEnd w:id="52"/>
          </w:p>
          <w:p w14:paraId="6C9A1D37">
            <w:pPr>
              <w:adjustRightInd w:val="0"/>
              <w:snapToGrid w:val="0"/>
              <w:spacing w:line="312" w:lineRule="auto"/>
              <w:ind w:firstLine="120" w:firstLineChars="50"/>
              <w:rPr>
                <w:rFonts w:ascii="仿宋" w:hAnsi="仿宋" w:eastAsia="仿宋" w:cs="仿宋"/>
                <w:sz w:val="24"/>
              </w:rPr>
            </w:pPr>
            <w:r>
              <w:rPr>
                <w:rFonts w:hint="eastAsia" w:ascii="仿宋" w:hAnsi="仿宋" w:eastAsia="仿宋" w:cs="仿宋"/>
                <w:sz w:val="24"/>
              </w:rPr>
              <w:t>（三）质量指标</w:t>
            </w:r>
          </w:p>
          <w:p w14:paraId="03C20351">
            <w:pPr>
              <w:adjustRightInd w:val="0"/>
              <w:snapToGrid w:val="0"/>
              <w:spacing w:line="312" w:lineRule="auto"/>
              <w:ind w:left="210"/>
              <w:rPr>
                <w:rFonts w:ascii="仿宋" w:hAnsi="仿宋" w:eastAsia="仿宋" w:cs="仿宋"/>
                <w:sz w:val="24"/>
              </w:rPr>
            </w:pPr>
          </w:p>
          <w:tbl>
            <w:tblPr>
              <w:tblStyle w:val="11"/>
              <w:tblpPr w:leftFromText="180" w:rightFromText="180" w:vertAnchor="text" w:horzAnchor="page" w:tblpX="856" w:tblpY="-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910"/>
              <w:gridCol w:w="2160"/>
            </w:tblGrid>
            <w:tr w14:paraId="42F9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Borders>
                    <w:tl2br w:val="nil"/>
                    <w:tr2bl w:val="nil"/>
                  </w:tcBorders>
                  <w:shd w:val="clear" w:color="auto" w:fill="auto"/>
                  <w:tcMar>
                    <w:left w:w="0" w:type="dxa"/>
                  </w:tcMar>
                  <w:vAlign w:val="center"/>
                </w:tcPr>
                <w:p w14:paraId="2CD6D3E8">
                  <w:pPr>
                    <w:adjustRightInd w:val="0"/>
                    <w:snapToGrid w:val="0"/>
                    <w:spacing w:line="312" w:lineRule="auto"/>
                    <w:ind w:left="210"/>
                    <w:rPr>
                      <w:rFonts w:ascii="仿宋" w:hAnsi="仿宋" w:eastAsia="仿宋" w:cs="仿宋"/>
                      <w:sz w:val="24"/>
                    </w:rPr>
                  </w:pPr>
                  <w:r>
                    <w:rPr>
                      <w:rFonts w:ascii="仿宋" w:hAnsi="仿宋" w:eastAsia="仿宋" w:cs="仿宋"/>
                      <w:sz w:val="24"/>
                    </w:rPr>
                    <w:t>指标项</w:t>
                  </w:r>
                </w:p>
              </w:tc>
              <w:tc>
                <w:tcPr>
                  <w:tcW w:w="0" w:type="auto"/>
                  <w:tcBorders>
                    <w:tl2br w:val="nil"/>
                    <w:tr2bl w:val="nil"/>
                  </w:tcBorders>
                  <w:shd w:val="clear" w:color="auto" w:fill="auto"/>
                  <w:vAlign w:val="center"/>
                </w:tcPr>
                <w:p w14:paraId="33E7847E">
                  <w:pPr>
                    <w:adjustRightInd w:val="0"/>
                    <w:snapToGrid w:val="0"/>
                    <w:spacing w:line="312" w:lineRule="auto"/>
                    <w:ind w:left="210"/>
                    <w:rPr>
                      <w:rFonts w:ascii="仿宋" w:hAnsi="仿宋" w:eastAsia="仿宋" w:cs="仿宋"/>
                      <w:sz w:val="24"/>
                    </w:rPr>
                  </w:pPr>
                  <w:r>
                    <w:rPr>
                      <w:rFonts w:ascii="仿宋" w:hAnsi="仿宋" w:eastAsia="仿宋" w:cs="仿宋"/>
                      <w:sz w:val="24"/>
                    </w:rPr>
                    <w:t>标准要求</w:t>
                  </w:r>
                </w:p>
              </w:tc>
            </w:tr>
            <w:tr w14:paraId="7E1E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Borders>
                    <w:tl2br w:val="nil"/>
                    <w:tr2bl w:val="nil"/>
                  </w:tcBorders>
                  <w:shd w:val="clear" w:color="auto" w:fill="auto"/>
                  <w:tcMar>
                    <w:left w:w="0" w:type="dxa"/>
                  </w:tcMar>
                  <w:vAlign w:val="center"/>
                </w:tcPr>
                <w:p w14:paraId="7C4F38AD">
                  <w:pPr>
                    <w:adjustRightInd w:val="0"/>
                    <w:snapToGrid w:val="0"/>
                    <w:spacing w:line="312" w:lineRule="auto"/>
                    <w:ind w:left="210"/>
                    <w:rPr>
                      <w:rFonts w:ascii="仿宋" w:hAnsi="仿宋" w:eastAsia="仿宋" w:cs="仿宋"/>
                      <w:sz w:val="24"/>
                    </w:rPr>
                  </w:pPr>
                  <w:r>
                    <w:rPr>
                      <w:rFonts w:ascii="仿宋" w:hAnsi="仿宋" w:eastAsia="仿宋" w:cs="仿宋"/>
                      <w:sz w:val="24"/>
                    </w:rPr>
                    <w:t>数据采集准确率</w:t>
                  </w:r>
                </w:p>
              </w:tc>
              <w:tc>
                <w:tcPr>
                  <w:tcW w:w="0" w:type="auto"/>
                  <w:tcBorders>
                    <w:tl2br w:val="nil"/>
                    <w:tr2bl w:val="nil"/>
                  </w:tcBorders>
                  <w:shd w:val="clear" w:color="auto" w:fill="auto"/>
                  <w:vAlign w:val="center"/>
                </w:tcPr>
                <w:p w14:paraId="670554E6">
                  <w:pPr>
                    <w:adjustRightInd w:val="0"/>
                    <w:snapToGrid w:val="0"/>
                    <w:spacing w:line="312" w:lineRule="auto"/>
                    <w:ind w:left="210"/>
                    <w:rPr>
                      <w:rFonts w:ascii="仿宋" w:hAnsi="仿宋" w:eastAsia="仿宋" w:cs="仿宋"/>
                      <w:sz w:val="24"/>
                    </w:rPr>
                  </w:pPr>
                  <w:r>
                    <w:rPr>
                      <w:rFonts w:ascii="仿宋" w:hAnsi="仿宋" w:eastAsia="仿宋" w:cs="仿宋"/>
                      <w:sz w:val="24"/>
                    </w:rPr>
                    <w:t>≥99.9%</w:t>
                  </w:r>
                </w:p>
              </w:tc>
            </w:tr>
            <w:tr w14:paraId="35E2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Borders>
                    <w:tl2br w:val="nil"/>
                    <w:tr2bl w:val="nil"/>
                  </w:tcBorders>
                  <w:shd w:val="clear" w:color="auto" w:fill="auto"/>
                  <w:tcMar>
                    <w:left w:w="0" w:type="dxa"/>
                  </w:tcMar>
                  <w:vAlign w:val="center"/>
                </w:tcPr>
                <w:p w14:paraId="626FE35E">
                  <w:pPr>
                    <w:adjustRightInd w:val="0"/>
                    <w:snapToGrid w:val="0"/>
                    <w:spacing w:line="312" w:lineRule="auto"/>
                    <w:ind w:left="210"/>
                    <w:rPr>
                      <w:rFonts w:ascii="仿宋" w:hAnsi="仿宋" w:eastAsia="仿宋" w:cs="仿宋"/>
                      <w:sz w:val="24"/>
                    </w:rPr>
                  </w:pPr>
                  <w:r>
                    <w:rPr>
                      <w:rFonts w:ascii="仿宋" w:hAnsi="仿宋" w:eastAsia="仿宋" w:cs="仿宋"/>
                      <w:sz w:val="24"/>
                    </w:rPr>
                    <w:t>差异修正完成率</w:t>
                  </w:r>
                </w:p>
              </w:tc>
              <w:tc>
                <w:tcPr>
                  <w:tcW w:w="0" w:type="auto"/>
                  <w:tcBorders>
                    <w:tl2br w:val="nil"/>
                    <w:tr2bl w:val="nil"/>
                  </w:tcBorders>
                  <w:shd w:val="clear" w:color="auto" w:fill="auto"/>
                  <w:vAlign w:val="center"/>
                </w:tcPr>
                <w:p w14:paraId="604F0779">
                  <w:pPr>
                    <w:adjustRightInd w:val="0"/>
                    <w:snapToGrid w:val="0"/>
                    <w:spacing w:line="312" w:lineRule="auto"/>
                    <w:ind w:left="210"/>
                    <w:rPr>
                      <w:rFonts w:ascii="仿宋" w:hAnsi="仿宋" w:eastAsia="仿宋" w:cs="仿宋"/>
                      <w:sz w:val="24"/>
                    </w:rPr>
                  </w:pPr>
                  <w:r>
                    <w:rPr>
                      <w:rFonts w:ascii="仿宋" w:hAnsi="仿宋" w:eastAsia="仿宋" w:cs="仿宋"/>
                      <w:sz w:val="24"/>
                    </w:rPr>
                    <w:t>100%</w:t>
                  </w:r>
                </w:p>
              </w:tc>
            </w:tr>
            <w:tr w14:paraId="1E82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Borders>
                    <w:tl2br w:val="nil"/>
                    <w:tr2bl w:val="nil"/>
                  </w:tcBorders>
                  <w:shd w:val="clear" w:color="auto" w:fill="auto"/>
                  <w:tcMar>
                    <w:left w:w="0" w:type="dxa"/>
                  </w:tcMar>
                  <w:vAlign w:val="center"/>
                </w:tcPr>
                <w:p w14:paraId="2CADC0D6">
                  <w:pPr>
                    <w:adjustRightInd w:val="0"/>
                    <w:snapToGrid w:val="0"/>
                    <w:spacing w:line="312" w:lineRule="auto"/>
                    <w:ind w:left="210"/>
                    <w:rPr>
                      <w:rFonts w:ascii="仿宋" w:hAnsi="仿宋" w:eastAsia="仿宋" w:cs="仿宋"/>
                      <w:sz w:val="24"/>
                    </w:rPr>
                  </w:pPr>
                  <w:r>
                    <w:rPr>
                      <w:rFonts w:ascii="仿宋" w:hAnsi="仿宋" w:eastAsia="仿宋" w:cs="仿宋"/>
                      <w:sz w:val="24"/>
                    </w:rPr>
                    <w:t>图书损坏率</w:t>
                  </w:r>
                </w:p>
              </w:tc>
              <w:tc>
                <w:tcPr>
                  <w:tcW w:w="0" w:type="auto"/>
                  <w:tcBorders>
                    <w:tl2br w:val="nil"/>
                    <w:tr2bl w:val="nil"/>
                  </w:tcBorders>
                  <w:shd w:val="clear" w:color="auto" w:fill="auto"/>
                  <w:vAlign w:val="center"/>
                </w:tcPr>
                <w:p w14:paraId="11B3AA50">
                  <w:pPr>
                    <w:adjustRightInd w:val="0"/>
                    <w:snapToGrid w:val="0"/>
                    <w:spacing w:line="312" w:lineRule="auto"/>
                    <w:ind w:left="210"/>
                    <w:rPr>
                      <w:rFonts w:ascii="仿宋" w:hAnsi="仿宋" w:eastAsia="仿宋" w:cs="仿宋"/>
                      <w:sz w:val="24"/>
                    </w:rPr>
                  </w:pPr>
                  <w:r>
                    <w:rPr>
                      <w:rFonts w:ascii="仿宋" w:hAnsi="仿宋" w:eastAsia="仿宋" w:cs="仿宋"/>
                      <w:sz w:val="24"/>
                    </w:rPr>
                    <w:t>≤0.01%</w:t>
                  </w:r>
                </w:p>
              </w:tc>
            </w:tr>
            <w:tr w14:paraId="1909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Borders>
                    <w:tl2br w:val="nil"/>
                    <w:tr2bl w:val="nil"/>
                  </w:tcBorders>
                  <w:shd w:val="clear" w:color="auto" w:fill="auto"/>
                  <w:tcMar>
                    <w:left w:w="0" w:type="dxa"/>
                  </w:tcMar>
                  <w:vAlign w:val="center"/>
                </w:tcPr>
                <w:p w14:paraId="453FF72D">
                  <w:pPr>
                    <w:adjustRightInd w:val="0"/>
                    <w:snapToGrid w:val="0"/>
                    <w:spacing w:line="312" w:lineRule="auto"/>
                    <w:ind w:left="210"/>
                    <w:rPr>
                      <w:rFonts w:ascii="仿宋" w:hAnsi="仿宋" w:eastAsia="仿宋" w:cs="仿宋"/>
                      <w:sz w:val="24"/>
                    </w:rPr>
                  </w:pPr>
                  <w:r>
                    <w:rPr>
                      <w:rFonts w:ascii="仿宋" w:hAnsi="仿宋" w:eastAsia="仿宋" w:cs="仿宋"/>
                      <w:sz w:val="24"/>
                    </w:rPr>
                    <w:t>文档完整性</w:t>
                  </w:r>
                </w:p>
              </w:tc>
              <w:tc>
                <w:tcPr>
                  <w:tcW w:w="0" w:type="auto"/>
                  <w:tcBorders>
                    <w:tl2br w:val="nil"/>
                    <w:tr2bl w:val="nil"/>
                  </w:tcBorders>
                  <w:shd w:val="clear" w:color="auto" w:fill="auto"/>
                  <w:vAlign w:val="center"/>
                </w:tcPr>
                <w:p w14:paraId="4D496581">
                  <w:pPr>
                    <w:adjustRightInd w:val="0"/>
                    <w:snapToGrid w:val="0"/>
                    <w:spacing w:line="312" w:lineRule="auto"/>
                    <w:ind w:left="210"/>
                    <w:rPr>
                      <w:rFonts w:ascii="仿宋" w:hAnsi="仿宋" w:eastAsia="仿宋" w:cs="仿宋"/>
                      <w:sz w:val="24"/>
                    </w:rPr>
                  </w:pPr>
                  <w:r>
                    <w:rPr>
                      <w:rFonts w:ascii="仿宋" w:hAnsi="仿宋" w:eastAsia="仿宋" w:cs="仿宋"/>
                      <w:sz w:val="24"/>
                    </w:rPr>
                    <w:t>100%符合规范要求</w:t>
                  </w:r>
                </w:p>
              </w:tc>
            </w:tr>
          </w:tbl>
          <w:p w14:paraId="3C4A59E3">
            <w:pPr>
              <w:adjustRightInd w:val="0"/>
              <w:snapToGrid w:val="0"/>
              <w:spacing w:line="312" w:lineRule="auto"/>
              <w:ind w:left="210"/>
              <w:rPr>
                <w:rFonts w:ascii="仿宋" w:hAnsi="仿宋" w:eastAsia="仿宋" w:cs="仿宋"/>
                <w:sz w:val="24"/>
              </w:rPr>
            </w:pPr>
          </w:p>
          <w:p w14:paraId="40975269">
            <w:pPr>
              <w:adjustRightInd w:val="0"/>
              <w:snapToGrid w:val="0"/>
              <w:spacing w:line="312" w:lineRule="auto"/>
              <w:ind w:left="210"/>
              <w:rPr>
                <w:rFonts w:ascii="仿宋" w:hAnsi="仿宋" w:eastAsia="仿宋" w:cs="仿宋"/>
                <w:sz w:val="24"/>
              </w:rPr>
            </w:pPr>
          </w:p>
          <w:p w14:paraId="7AB4EA0E">
            <w:pPr>
              <w:adjustRightInd w:val="0"/>
              <w:snapToGrid w:val="0"/>
              <w:spacing w:line="312" w:lineRule="auto"/>
              <w:ind w:left="210"/>
              <w:rPr>
                <w:rFonts w:ascii="仿宋" w:hAnsi="仿宋" w:eastAsia="仿宋" w:cs="仿宋"/>
                <w:sz w:val="24"/>
              </w:rPr>
            </w:pPr>
          </w:p>
          <w:p w14:paraId="303562BB">
            <w:pPr>
              <w:adjustRightInd w:val="0"/>
              <w:snapToGrid w:val="0"/>
              <w:spacing w:line="312" w:lineRule="auto"/>
              <w:ind w:left="210"/>
              <w:rPr>
                <w:rFonts w:ascii="仿宋" w:hAnsi="仿宋" w:eastAsia="仿宋" w:cs="仿宋"/>
                <w:sz w:val="24"/>
              </w:rPr>
            </w:pPr>
          </w:p>
          <w:p w14:paraId="239E6218">
            <w:pPr>
              <w:adjustRightInd w:val="0"/>
              <w:snapToGrid w:val="0"/>
              <w:spacing w:line="312" w:lineRule="auto"/>
              <w:ind w:left="210"/>
              <w:rPr>
                <w:rFonts w:ascii="仿宋" w:hAnsi="仿宋" w:eastAsia="仿宋" w:cs="仿宋"/>
                <w:sz w:val="24"/>
              </w:rPr>
            </w:pPr>
          </w:p>
          <w:p w14:paraId="29BD6A22">
            <w:pPr>
              <w:adjustRightInd w:val="0"/>
              <w:snapToGrid w:val="0"/>
              <w:spacing w:line="312" w:lineRule="auto"/>
              <w:ind w:left="210"/>
              <w:rPr>
                <w:rFonts w:ascii="仿宋" w:hAnsi="仿宋" w:eastAsia="仿宋" w:cs="仿宋"/>
                <w:sz w:val="24"/>
              </w:rPr>
            </w:pPr>
          </w:p>
          <w:p w14:paraId="34F8A84A">
            <w:pPr>
              <w:ind w:firstLine="120" w:firstLineChars="50"/>
              <w:rPr>
                <w:rFonts w:ascii="仿宋" w:hAnsi="仿宋" w:eastAsia="仿宋" w:cs="仿宋"/>
                <w:sz w:val="24"/>
              </w:rPr>
            </w:pPr>
            <w:r>
              <w:rPr>
                <w:rFonts w:hint="eastAsia" w:ascii="仿宋" w:hAnsi="仿宋" w:eastAsia="仿宋" w:cs="仿宋"/>
                <w:sz w:val="24"/>
              </w:rPr>
              <w:t>（</w:t>
            </w:r>
            <w:bookmarkStart w:id="53" w:name="OLE_LINK33"/>
            <w:bookmarkStart w:id="54" w:name="OLE_LINK34"/>
            <w:r>
              <w:rPr>
                <w:rFonts w:hint="eastAsia" w:ascii="仿宋" w:hAnsi="仿宋" w:eastAsia="仿宋" w:cs="仿宋"/>
                <w:sz w:val="24"/>
              </w:rPr>
              <w:t>四）执行要求​</w:t>
            </w:r>
          </w:p>
          <w:p w14:paraId="50B04252">
            <w:pPr>
              <w:ind w:firstLine="480" w:firstLineChars="200"/>
              <w:rPr>
                <w:rFonts w:ascii="仿宋" w:hAnsi="仿宋" w:eastAsia="仿宋" w:cs="仿宋"/>
                <w:sz w:val="24"/>
              </w:rPr>
            </w:pPr>
            <w:r>
              <w:rPr>
                <w:rFonts w:hint="eastAsia" w:ascii="仿宋" w:hAnsi="仿宋" w:eastAsia="仿宋" w:cs="仿宋"/>
                <w:sz w:val="24"/>
              </w:rPr>
              <w:t>1.配备至少1名项目负责人，项目执行团队需具备丰富的图书馆图书盘点经验，团队成员应熟悉图书分类体系和图书馆管理流程。​</w:t>
            </w:r>
          </w:p>
          <w:p w14:paraId="7B88BC69">
            <w:pPr>
              <w:ind w:firstLine="480" w:firstLineChars="200"/>
              <w:rPr>
                <w:rFonts w:ascii="仿宋" w:hAnsi="仿宋" w:eastAsia="仿宋" w:cs="仿宋"/>
                <w:sz w:val="24"/>
              </w:rPr>
            </w:pPr>
            <w:r>
              <w:rPr>
                <w:rFonts w:hint="eastAsia" w:ascii="仿宋" w:hAnsi="仿宋" w:eastAsia="仿宋" w:cs="仿宋"/>
                <w:sz w:val="24"/>
              </w:rPr>
              <w:t>2.在数据采集过程中，数据准确率需达到 99% 以上。</w:t>
            </w:r>
          </w:p>
          <w:p w14:paraId="08A38E26">
            <w:pPr>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投标方需自备专业</w:t>
            </w:r>
            <w:r>
              <w:rPr>
                <w:rFonts w:hint="eastAsia" w:ascii="仿宋" w:hAnsi="仿宋" w:eastAsia="仿宋" w:cs="仿宋"/>
                <w:sz w:val="24"/>
              </w:rPr>
              <w:t>扫码</w:t>
            </w:r>
            <w:r>
              <w:rPr>
                <w:rFonts w:ascii="仿宋" w:hAnsi="仿宋" w:eastAsia="仿宋" w:cs="仿宋"/>
                <w:sz w:val="24"/>
              </w:rPr>
              <w:t>设备及打包工具（打包机、打包带、防水纸）</w:t>
            </w:r>
            <w:r>
              <w:rPr>
                <w:rFonts w:hint="eastAsia" w:ascii="仿宋" w:hAnsi="仿宋" w:eastAsia="仿宋" w:cs="仿宋"/>
                <w:sz w:val="24"/>
              </w:rPr>
              <w:t>等</w:t>
            </w:r>
            <w:r>
              <w:rPr>
                <w:rFonts w:ascii="仿宋" w:hAnsi="仿宋" w:eastAsia="仿宋" w:cs="仿宋"/>
                <w:sz w:val="24"/>
              </w:rPr>
              <w:t>。</w:t>
            </w:r>
          </w:p>
          <w:p w14:paraId="63A227FC">
            <w:pPr>
              <w:ind w:firstLine="480" w:firstLineChars="200"/>
              <w:rPr>
                <w:rFonts w:ascii="仿宋" w:hAnsi="仿宋" w:eastAsia="仿宋" w:cs="仿宋"/>
                <w:sz w:val="24"/>
              </w:rPr>
            </w:pPr>
            <w:r>
              <w:rPr>
                <w:rFonts w:hint="eastAsia" w:ascii="仿宋" w:hAnsi="仿宋" w:eastAsia="仿宋" w:cs="仿宋"/>
                <w:sz w:val="24"/>
              </w:rPr>
              <w:t>4.提供详细的项目执行过程文档，包括数据采集清单、差异数据处理记录、图书打包清单等。</w:t>
            </w:r>
          </w:p>
          <w:p w14:paraId="5D4D9C11">
            <w:pPr>
              <w:ind w:firstLine="480" w:firstLineChars="200"/>
              <w:rPr>
                <w:rFonts w:ascii="仿宋" w:hAnsi="仿宋" w:eastAsia="仿宋" w:cs="仿宋"/>
                <w:sz w:val="24"/>
              </w:rPr>
            </w:pPr>
            <w:r>
              <w:rPr>
                <w:rFonts w:hint="eastAsia" w:ascii="仿宋" w:hAnsi="仿宋" w:eastAsia="仿宋" w:cs="仿宋"/>
                <w:sz w:val="24"/>
              </w:rPr>
              <w:t>5签署保密协议，承诺不泄露任何图书数据及资产信息。</w:t>
            </w:r>
          </w:p>
          <w:p w14:paraId="7093E12B">
            <w:pPr>
              <w:ind w:firstLine="120" w:firstLineChars="50"/>
              <w:rPr>
                <w:rFonts w:ascii="仿宋" w:hAnsi="仿宋" w:eastAsia="仿宋" w:cs="仿宋"/>
                <w:sz w:val="24"/>
              </w:rPr>
            </w:pPr>
            <w:bookmarkStart w:id="55" w:name="OLE_LINK36"/>
            <w:bookmarkStart w:id="56" w:name="OLE_LINK37"/>
            <w:bookmarkStart w:id="57" w:name="OLE_LINK56"/>
            <w:bookmarkStart w:id="58" w:name="OLE_LINK55"/>
            <w:r>
              <w:rPr>
                <w:rFonts w:hint="eastAsia" w:ascii="仿宋" w:hAnsi="仿宋" w:eastAsia="仿宋" w:cs="仿宋"/>
                <w:sz w:val="24"/>
              </w:rPr>
              <w:t>（五）</w:t>
            </w:r>
            <w:bookmarkEnd w:id="55"/>
            <w:bookmarkEnd w:id="56"/>
            <w:r>
              <w:rPr>
                <w:rFonts w:hint="eastAsia" w:ascii="仿宋" w:hAnsi="仿宋" w:eastAsia="仿宋" w:cs="仿宋"/>
                <w:sz w:val="24"/>
              </w:rPr>
              <w:t>验收标准</w:t>
            </w:r>
          </w:p>
          <w:p w14:paraId="0CD56849">
            <w:pPr>
              <w:ind w:firstLine="480" w:firstLineChars="200"/>
              <w:rPr>
                <w:rFonts w:ascii="仿宋" w:hAnsi="仿宋" w:eastAsia="仿宋" w:cs="仿宋"/>
                <w:sz w:val="24"/>
              </w:rPr>
            </w:pPr>
            <w:r>
              <w:rPr>
                <w:rFonts w:hint="eastAsia" w:ascii="仿宋" w:hAnsi="仿宋" w:eastAsia="仿宋" w:cs="仿宋"/>
                <w:sz w:val="24"/>
              </w:rPr>
              <w:t>一、交付成果要求</w:t>
            </w:r>
          </w:p>
          <w:p w14:paraId="2BF9C69B">
            <w:pPr>
              <w:ind w:firstLine="480" w:firstLineChars="200"/>
              <w:rPr>
                <w:rFonts w:ascii="仿宋" w:hAnsi="仿宋" w:eastAsia="仿宋" w:cs="仿宋"/>
                <w:sz w:val="24"/>
              </w:rPr>
            </w:pPr>
            <w:r>
              <w:rPr>
                <w:rFonts w:hint="eastAsia" w:ascii="仿宋" w:hAnsi="仿宋" w:eastAsia="仿宋" w:cs="仿宋"/>
                <w:sz w:val="24"/>
              </w:rPr>
              <w:t>1.图书盘点清单：需提交电子版（Excel格式）及纸质盖章版，无遗漏或重复记录。内容包括但不限于：书名、ISBN、条形码、单价、册数、出版年份、作者、索书号、馆藏位置、图书状态等。</w:t>
            </w:r>
          </w:p>
          <w:p w14:paraId="6AC22728">
            <w:pPr>
              <w:ind w:firstLine="480" w:firstLineChars="200"/>
              <w:rPr>
                <w:rFonts w:ascii="仿宋" w:hAnsi="仿宋" w:eastAsia="仿宋" w:cs="仿宋"/>
                <w:sz w:val="24"/>
              </w:rPr>
            </w:pPr>
            <w:r>
              <w:rPr>
                <w:rFonts w:hint="eastAsia" w:ascii="仿宋" w:hAnsi="仿宋" w:eastAsia="仿宋" w:cs="仿宋"/>
                <w:sz w:val="24"/>
              </w:rPr>
              <w:t>2.报告文件：</w:t>
            </w:r>
          </w:p>
          <w:p w14:paraId="1FE1C60C">
            <w:pPr>
              <w:ind w:firstLine="480" w:firstLineChars="200"/>
              <w:rPr>
                <w:rFonts w:ascii="仿宋" w:hAnsi="仿宋" w:eastAsia="仿宋" w:cs="仿宋"/>
                <w:sz w:val="24"/>
              </w:rPr>
            </w:pPr>
            <w:r>
              <w:rPr>
                <w:rFonts w:hint="eastAsia" w:ascii="仿宋" w:hAnsi="仿宋" w:eastAsia="仿宋" w:cs="仿宋"/>
                <w:sz w:val="24"/>
              </w:rPr>
              <w:t>差异分析报告：说明财务、系统、实体数据差异情况及修正记录。</w:t>
            </w:r>
          </w:p>
          <w:p w14:paraId="4D4592FA">
            <w:pPr>
              <w:ind w:firstLine="480" w:firstLineChars="200"/>
              <w:rPr>
                <w:rFonts w:ascii="仿宋" w:hAnsi="仿宋" w:eastAsia="仿宋" w:cs="仿宋"/>
                <w:sz w:val="24"/>
              </w:rPr>
            </w:pPr>
            <w:r>
              <w:rPr>
                <w:rFonts w:ascii="仿宋" w:hAnsi="仿宋" w:eastAsia="仿宋" w:cs="仿宋"/>
                <w:sz w:val="24"/>
              </w:rPr>
              <w:t>搬迁过程</w:t>
            </w:r>
            <w:r>
              <w:rPr>
                <w:rFonts w:hint="eastAsia" w:ascii="仿宋" w:hAnsi="仿宋" w:eastAsia="仿宋" w:cs="仿宋"/>
                <w:sz w:val="24"/>
              </w:rPr>
              <w:t>材料</w:t>
            </w:r>
            <w:r>
              <w:rPr>
                <w:rFonts w:ascii="仿宋" w:hAnsi="仿宋" w:eastAsia="仿宋" w:cs="仿宋"/>
                <w:sz w:val="24"/>
              </w:rPr>
              <w:t>：含打包编号、运输记录、接收确认单及损坏赔偿清单</w:t>
            </w:r>
            <w:r>
              <w:rPr>
                <w:rFonts w:hint="eastAsia" w:ascii="仿宋" w:hAnsi="仿宋" w:eastAsia="仿宋" w:cs="仿宋"/>
                <w:sz w:val="24"/>
              </w:rPr>
              <w:t>（如有）</w:t>
            </w:r>
            <w:r>
              <w:rPr>
                <w:rFonts w:ascii="仿宋" w:hAnsi="仿宋" w:eastAsia="仿宋" w:cs="仿宋"/>
                <w:sz w:val="24"/>
              </w:rPr>
              <w:t>。</w:t>
            </w:r>
          </w:p>
          <w:p w14:paraId="1926D040">
            <w:pPr>
              <w:ind w:firstLine="480" w:firstLineChars="200"/>
              <w:rPr>
                <w:rFonts w:ascii="仿宋" w:hAnsi="仿宋" w:eastAsia="仿宋" w:cs="仿宋"/>
                <w:sz w:val="24"/>
              </w:rPr>
            </w:pPr>
            <w:r>
              <w:rPr>
                <w:rFonts w:hint="eastAsia" w:ascii="仿宋" w:hAnsi="仿宋" w:eastAsia="仿宋" w:cs="仿宋"/>
                <w:sz w:val="24"/>
              </w:rPr>
              <w:t>二、验收要求</w:t>
            </w:r>
          </w:p>
          <w:p w14:paraId="4E1F7F40">
            <w:pPr>
              <w:ind w:firstLine="480" w:firstLineChars="200"/>
              <w:rPr>
                <w:rFonts w:ascii="仿宋" w:hAnsi="仿宋" w:eastAsia="仿宋" w:cs="仿宋"/>
                <w:sz w:val="24"/>
              </w:rPr>
            </w:pPr>
            <w:r>
              <w:rPr>
                <w:rFonts w:hint="eastAsia" w:ascii="仿宋" w:hAnsi="仿宋" w:eastAsia="仿宋" w:cs="仿宋"/>
                <w:sz w:val="24"/>
              </w:rPr>
              <w:t>1.阶段性验收</w:t>
            </w:r>
            <w:r>
              <w:rPr>
                <w:rFonts w:ascii="仿宋" w:hAnsi="仿宋" w:eastAsia="仿宋" w:cs="仿宋"/>
                <w:sz w:val="24"/>
              </w:rPr>
              <w:t>：在数据采集、核对、打包等关键节点，中标方需提交阶段性成果供图书馆审核，审核通过后方可进入下一环节。</w:t>
            </w:r>
          </w:p>
          <w:p w14:paraId="7690CB86">
            <w:pPr>
              <w:ind w:firstLine="480" w:firstLineChars="200"/>
              <w:rPr>
                <w:rFonts w:ascii="仿宋" w:hAnsi="仿宋" w:eastAsia="仿宋" w:cs="仿宋"/>
                <w:sz w:val="24"/>
              </w:rPr>
            </w:pPr>
            <w:r>
              <w:rPr>
                <w:rFonts w:hint="eastAsia" w:ascii="仿宋" w:hAnsi="仿宋" w:eastAsia="仿宋" w:cs="仿宋"/>
                <w:sz w:val="24"/>
              </w:rPr>
              <w:t>2.</w:t>
            </w:r>
            <w:r>
              <w:rPr>
                <w:rFonts w:ascii="仿宋" w:hAnsi="仿宋" w:eastAsia="仿宋" w:cs="仿宋"/>
                <w:sz w:val="24"/>
              </w:rPr>
              <w:t>最终验收：项目全部完成后，图书馆将根据以下标准进行验收：</w:t>
            </w:r>
          </w:p>
          <w:p w14:paraId="15F8F28D">
            <w:pPr>
              <w:ind w:firstLine="480" w:firstLineChars="200"/>
              <w:rPr>
                <w:rFonts w:ascii="仿宋" w:hAnsi="仿宋" w:eastAsia="仿宋" w:cs="仿宋"/>
                <w:sz w:val="24"/>
              </w:rPr>
            </w:pPr>
            <w:r>
              <w:rPr>
                <w:rFonts w:ascii="仿宋" w:hAnsi="仿宋" w:eastAsia="仿宋" w:cs="仿宋"/>
                <w:sz w:val="24"/>
              </w:rPr>
              <w:t>图书搬迁后无损坏、遗失；</w:t>
            </w:r>
          </w:p>
          <w:p w14:paraId="3C63FE9A">
            <w:pPr>
              <w:ind w:firstLine="480" w:firstLineChars="200"/>
              <w:rPr>
                <w:rFonts w:ascii="仿宋" w:hAnsi="仿宋" w:eastAsia="仿宋" w:cs="仿宋"/>
                <w:sz w:val="24"/>
              </w:rPr>
            </w:pPr>
            <w:r>
              <w:rPr>
                <w:rFonts w:ascii="仿宋" w:hAnsi="仿宋" w:eastAsia="仿宋" w:cs="仿宋"/>
                <w:sz w:val="24"/>
              </w:rPr>
              <w:t>数据报告与实际情况完全匹配；</w:t>
            </w:r>
          </w:p>
          <w:p w14:paraId="7D7A5965">
            <w:pPr>
              <w:ind w:firstLine="480" w:firstLineChars="200"/>
              <w:rPr>
                <w:rFonts w:ascii="仿宋" w:hAnsi="仿宋" w:eastAsia="仿宋" w:cs="仿宋"/>
                <w:sz w:val="24"/>
              </w:rPr>
            </w:pPr>
            <w:r>
              <w:rPr>
                <w:rFonts w:ascii="仿宋" w:hAnsi="仿宋" w:eastAsia="仿宋" w:cs="仿宋"/>
                <w:sz w:val="24"/>
              </w:rPr>
              <w:t>所有文档（清单、数据库、报告）提交齐全且符合规范。</w:t>
            </w:r>
          </w:p>
          <w:p w14:paraId="187718A9">
            <w:pPr>
              <w:ind w:firstLine="480" w:firstLineChars="200"/>
              <w:rPr>
                <w:rFonts w:ascii="仿宋" w:hAnsi="仿宋" w:eastAsia="仿宋" w:cs="仿宋"/>
                <w:sz w:val="24"/>
              </w:rPr>
            </w:pPr>
            <w:r>
              <w:rPr>
                <w:rFonts w:hint="eastAsia" w:ascii="仿宋" w:hAnsi="仿宋" w:eastAsia="仿宋" w:cs="仿宋"/>
                <w:sz w:val="24"/>
              </w:rPr>
              <w:t>3.整改要求：</w:t>
            </w:r>
            <w:r>
              <w:rPr>
                <w:rFonts w:ascii="仿宋" w:hAnsi="仿宋" w:eastAsia="仿宋" w:cs="仿宋"/>
                <w:sz w:val="24"/>
              </w:rPr>
              <w:t>若验收中发现数据遗漏、错误或文档不规范等问题，中标方需</w:t>
            </w:r>
            <w:r>
              <w:rPr>
                <w:rFonts w:hint="eastAsia" w:ascii="仿宋" w:hAnsi="仿宋" w:eastAsia="仿宋" w:cs="仿宋"/>
                <w:sz w:val="24"/>
              </w:rPr>
              <w:t>在</w:t>
            </w:r>
            <w:r>
              <w:rPr>
                <w:rFonts w:ascii="仿宋" w:hAnsi="仿宋" w:eastAsia="仿宋" w:cs="仿宋"/>
                <w:sz w:val="24"/>
              </w:rPr>
              <w:t>3个工作日内完成整改并重新提交，直至验收合格。</w:t>
            </w:r>
            <w:bookmarkEnd w:id="46"/>
            <w:bookmarkEnd w:id="47"/>
            <w:bookmarkEnd w:id="53"/>
            <w:bookmarkEnd w:id="54"/>
            <w:bookmarkEnd w:id="57"/>
            <w:bookmarkEnd w:id="58"/>
          </w:p>
        </w:tc>
      </w:tr>
    </w:tbl>
    <w:p w14:paraId="26D95AC4">
      <w:pPr>
        <w:spacing w:line="360" w:lineRule="auto"/>
        <w:ind w:firstLine="560" w:firstLineChars="200"/>
        <w:rPr>
          <w:rFonts w:ascii="宋体" w:hAnsi="宋体" w:cs="宋体"/>
          <w:sz w:val="28"/>
          <w:szCs w:val="28"/>
        </w:rPr>
      </w:pPr>
      <w:r>
        <w:rPr>
          <w:rFonts w:hint="eastAsia" w:ascii="宋体" w:hAnsi="宋体" w:cs="宋体"/>
          <w:sz w:val="28"/>
          <w:szCs w:val="28"/>
        </w:rPr>
        <w:t>（二）服务期：</w:t>
      </w:r>
    </w:p>
    <w:p w14:paraId="2897F3DC">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1.合同签订后10日内根据实际情况提交可执行的细化方案。自方案确认日起，施工工期不超过40天。</w:t>
      </w:r>
    </w:p>
    <w:p w14:paraId="68123C55">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2.除因不可抗力或经中标方书面确认的正当理由外，中标方每逾期一个自然日，招标方有权扣减合同金额0.2%作为违约金（最高不超10%），且不免除中标方继续履行合同的义务。</w:t>
      </w:r>
    </w:p>
    <w:p w14:paraId="7399364F">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付款结算：</w:t>
      </w:r>
    </w:p>
    <w:p w14:paraId="432461B1">
      <w:pPr>
        <w:numPr>
          <w:ilvl w:val="255"/>
          <w:numId w:val="0"/>
        </w:numPr>
        <w:spacing w:line="360" w:lineRule="auto"/>
        <w:ind w:firstLine="560" w:firstLineChars="200"/>
        <w:jc w:val="left"/>
        <w:rPr>
          <w:rFonts w:ascii="宋体" w:hAnsi="宋体" w:cs="宋体"/>
          <w:b/>
          <w:bCs/>
          <w:sz w:val="28"/>
          <w:szCs w:val="28"/>
        </w:rPr>
      </w:pPr>
      <w:bookmarkStart w:id="59" w:name="OLE_LINK31"/>
      <w:bookmarkStart w:id="60" w:name="OLE_LINK32"/>
      <w:r>
        <w:rPr>
          <w:rFonts w:hint="eastAsia" w:ascii="宋体" w:hAnsi="宋体" w:cs="宋体"/>
          <w:sz w:val="28"/>
          <w:szCs w:val="28"/>
        </w:rPr>
        <w:t>项目服务完成后，经采购人和中标供应商双方确认服务验收合格后，中标人提交付款申</w:t>
      </w:r>
      <w:bookmarkEnd w:id="59"/>
      <w:bookmarkEnd w:id="60"/>
      <w:bookmarkStart w:id="61" w:name="OLE_LINK39"/>
      <w:bookmarkStart w:id="62" w:name="OLE_LINK42"/>
      <w:bookmarkStart w:id="63" w:name="OLE_LINK41"/>
      <w:bookmarkStart w:id="64" w:name="OLE_LINK40"/>
      <w:r>
        <w:rPr>
          <w:rFonts w:hint="eastAsia" w:ascii="宋体" w:hAnsi="宋体" w:cs="宋体"/>
          <w:sz w:val="28"/>
          <w:szCs w:val="28"/>
        </w:rPr>
        <w:t>请并提供相应金额的国家税务部门监制的增值税专用发票后，采购人在30个工作日内一次性支付合同金额的100%。</w:t>
      </w:r>
    </w:p>
    <w:bookmarkEnd w:id="61"/>
    <w:bookmarkEnd w:id="62"/>
    <w:bookmarkEnd w:id="63"/>
    <w:bookmarkEnd w:id="64"/>
    <w:p w14:paraId="4B2B1CBF">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评审规则</w:t>
      </w:r>
    </w:p>
    <w:p w14:paraId="1B51138E">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（一）本次询价须满足3家或以上供应商提交报价；报价人仅有两家时，应进行第二次报价。供应商各自的第二次报价不得高于第一次报价；若不足两家，本次询价失败。</w:t>
      </w:r>
    </w:p>
    <w:p w14:paraId="08B99FD7">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612AA37F">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7210F6BC">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报价文件内容</w:t>
      </w:r>
    </w:p>
    <w:p w14:paraId="39F8B6EB">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08413A50">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1B8CEF27">
      <w:pPr>
        <w:pStyle w:val="3"/>
        <w:numPr>
          <w:ilvl w:val="0"/>
          <w:numId w:val="4"/>
        </w:numPr>
        <w:spacing w:before="0" w:after="0" w:line="360" w:lineRule="auto"/>
        <w:ind w:left="210" w:firstLine="560" w:firstLineChars="200"/>
        <w:rPr>
          <w:rFonts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40E1D511">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2D565665">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bookmarkStart w:id="65" w:name="OLE_LINK13"/>
      <w:bookmarkStart w:id="66" w:name="OLE_LINK12"/>
      <w:r>
        <w:rPr>
          <w:rFonts w:hint="eastAsia" w:ascii="宋体" w:hAnsi="宋体" w:cs="宋体"/>
          <w:sz w:val="28"/>
          <w:szCs w:val="28"/>
        </w:rPr>
        <w:t>。</w:t>
      </w:r>
      <w:bookmarkEnd w:id="65"/>
      <w:bookmarkEnd w:id="66"/>
    </w:p>
    <w:p w14:paraId="2844CE2C">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具有图书档案数字化或图书馆服务类项目经验（需附2个同类案例）。</w:t>
      </w:r>
    </w:p>
    <w:p w14:paraId="1E671477">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提供数据安全承诺书及保密协议</w:t>
      </w:r>
      <w:bookmarkStart w:id="67" w:name="OLE_LINK18"/>
      <w:bookmarkStart w:id="68" w:name="OLE_LINK21"/>
      <w:r>
        <w:rPr>
          <w:rFonts w:hint="eastAsia" w:ascii="宋体" w:hAnsi="宋体" w:cs="宋体"/>
          <w:sz w:val="28"/>
          <w:szCs w:val="28"/>
        </w:rPr>
        <w:t>。</w:t>
      </w:r>
      <w:bookmarkEnd w:id="67"/>
      <w:bookmarkEnd w:id="68"/>
    </w:p>
    <w:p w14:paraId="17D8404C">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项目团队须包含图书情报专业人员（提供资质证明）。</w:t>
      </w:r>
    </w:p>
    <w:p w14:paraId="1591BE21">
      <w:pPr>
        <w:rPr>
          <w:rFonts w:ascii="宋体" w:hAnsi="宋体" w:cs="宋体"/>
          <w:b/>
          <w:sz w:val="24"/>
        </w:rPr>
      </w:pPr>
      <w:r>
        <w:rPr>
          <w:rFonts w:hint="eastAsia" w:ascii="宋体" w:hAnsi="宋体" w:cs="宋体"/>
          <w:b/>
          <w:sz w:val="24"/>
        </w:rPr>
        <w:br w:type="page"/>
      </w:r>
    </w:p>
    <w:p w14:paraId="7C8D3520">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172D2418">
      <w:pPr>
        <w:tabs>
          <w:tab w:val="left" w:pos="8100"/>
        </w:tabs>
        <w:adjustRightInd w:val="0"/>
        <w:snapToGrid w:val="0"/>
        <w:spacing w:line="348" w:lineRule="auto"/>
        <w:rPr>
          <w:rFonts w:ascii="宋体" w:hAnsi="宋体" w:cs="宋体"/>
          <w:b/>
          <w:sz w:val="24"/>
        </w:rPr>
      </w:pPr>
    </w:p>
    <w:p w14:paraId="54597CF5">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2A9C93DF">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0248516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0814A98A">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620FB191">
            <w:pPr>
              <w:autoSpaceDE w:val="0"/>
              <w:autoSpaceDN w:val="0"/>
              <w:adjustRightInd w:val="0"/>
              <w:spacing w:line="480" w:lineRule="exact"/>
              <w:jc w:val="center"/>
              <w:rPr>
                <w:rFonts w:ascii="宋体" w:hAnsi="宋体"/>
                <w:sz w:val="24"/>
              </w:rPr>
            </w:pPr>
            <w:r>
              <w:rPr>
                <w:rFonts w:hint="eastAsia" w:ascii="宋体" w:hAnsi="宋体"/>
                <w:sz w:val="24"/>
              </w:rPr>
              <w:t xml:space="preserve">       广东生态工程职业学院海珠校区图书馆图书盘点</w:t>
            </w:r>
          </w:p>
          <w:p w14:paraId="08DA1F86">
            <w:pPr>
              <w:autoSpaceDE w:val="0"/>
              <w:autoSpaceDN w:val="0"/>
              <w:adjustRightInd w:val="0"/>
              <w:spacing w:line="480" w:lineRule="exact"/>
              <w:jc w:val="center"/>
              <w:rPr>
                <w:rFonts w:ascii="宋体" w:hAnsi="宋体"/>
                <w:sz w:val="24"/>
              </w:rPr>
            </w:pPr>
            <w:r>
              <w:rPr>
                <w:rFonts w:hint="eastAsia" w:ascii="宋体" w:hAnsi="宋体"/>
                <w:sz w:val="24"/>
              </w:rPr>
              <w:t>及数据整理服务项目</w:t>
            </w:r>
          </w:p>
        </w:tc>
      </w:tr>
      <w:tr w14:paraId="6634DF75">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5A8CC9E9">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274D163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33A41A66">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4D35DDB1">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09B1B1C7">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23BC3B7C">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7DFD487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7A05DCE2">
            <w:pPr>
              <w:autoSpaceDE w:val="0"/>
              <w:autoSpaceDN w:val="0"/>
              <w:adjustRightInd w:val="0"/>
              <w:spacing w:line="480" w:lineRule="exact"/>
              <w:jc w:val="center"/>
              <w:rPr>
                <w:rFonts w:ascii="宋体" w:hAnsi="宋体"/>
                <w:sz w:val="24"/>
              </w:rPr>
            </w:pPr>
          </w:p>
        </w:tc>
      </w:tr>
    </w:tbl>
    <w:p w14:paraId="778554FE">
      <w:pPr>
        <w:pStyle w:val="5"/>
        <w:spacing w:line="480" w:lineRule="exact"/>
        <w:ind w:firstLine="100" w:firstLineChars="50"/>
        <w:rPr>
          <w:rFonts w:hAnsi="宋体"/>
        </w:rPr>
      </w:pPr>
      <w:r>
        <w:rPr>
          <w:rFonts w:hint="eastAsia" w:hAnsi="宋体"/>
        </w:rPr>
        <w:t>注：</w:t>
      </w:r>
    </w:p>
    <w:p w14:paraId="2C734AC6">
      <w:pPr>
        <w:pStyle w:val="5"/>
        <w:numPr>
          <w:ilvl w:val="0"/>
          <w:numId w:val="5"/>
        </w:numPr>
        <w:spacing w:line="0" w:lineRule="atLeast"/>
        <w:ind w:left="570"/>
        <w:rPr>
          <w:rFonts w:hAnsi="宋体"/>
        </w:rPr>
      </w:pPr>
      <w:r>
        <w:rPr>
          <w:rFonts w:hint="eastAsia" w:hAnsi="宋体"/>
        </w:rPr>
        <w:t>本表报价包含完成本项目应预见和不可预见的一切含税费用。</w:t>
      </w:r>
    </w:p>
    <w:p w14:paraId="154B4EF0">
      <w:pPr>
        <w:pStyle w:val="5"/>
        <w:numPr>
          <w:ilvl w:val="0"/>
          <w:numId w:val="5"/>
        </w:numPr>
        <w:spacing w:line="0" w:lineRule="atLeast"/>
        <w:ind w:left="570"/>
        <w:rPr>
          <w:rFonts w:hAnsi="宋体"/>
        </w:rPr>
      </w:pPr>
      <w:r>
        <w:rPr>
          <w:rFonts w:hint="eastAsia"/>
        </w:rPr>
        <w:t>填写此表时不得改变表格的形式。</w:t>
      </w:r>
    </w:p>
    <w:p w14:paraId="41AA6FF1">
      <w:pPr>
        <w:pStyle w:val="5"/>
        <w:numPr>
          <w:ilvl w:val="0"/>
          <w:numId w:val="5"/>
        </w:numPr>
        <w:spacing w:line="0" w:lineRule="atLeast"/>
        <w:ind w:left="570"/>
        <w:rPr>
          <w:rFonts w:hAnsi="宋体"/>
        </w:rPr>
      </w:pPr>
      <w:r>
        <w:rPr>
          <w:rFonts w:hint="eastAsia"/>
        </w:rPr>
        <w:t>以上表中内容必须计算机录入、填写、打印。手写按无效报价处理。</w:t>
      </w:r>
    </w:p>
    <w:p w14:paraId="5D1FCF8E">
      <w:pPr>
        <w:pStyle w:val="5"/>
        <w:numPr>
          <w:ilvl w:val="0"/>
          <w:numId w:val="5"/>
        </w:numPr>
        <w:spacing w:line="0" w:lineRule="atLeast"/>
        <w:ind w:left="570"/>
      </w:pPr>
      <w:r>
        <w:rPr>
          <w:rFonts w:hint="eastAsia"/>
        </w:rPr>
        <w:t>必须满足服务内容、质保期等服务要求。</w:t>
      </w:r>
    </w:p>
    <w:p w14:paraId="039E0608">
      <w:pPr>
        <w:pStyle w:val="5"/>
        <w:spacing w:line="0" w:lineRule="atLeast"/>
        <w:ind w:left="210"/>
        <w:rPr>
          <w:rFonts w:hAnsi="宋体"/>
          <w:color w:val="FF0000"/>
        </w:rPr>
      </w:pPr>
    </w:p>
    <w:p w14:paraId="7E43C713"/>
    <w:p w14:paraId="37ECD08A"/>
    <w:p w14:paraId="33975352">
      <w:pPr>
        <w:spacing w:line="480" w:lineRule="exact"/>
        <w:ind w:left="4599" w:leftChars="2190" w:firstLine="240" w:firstLineChars="100"/>
        <w:rPr>
          <w:rFonts w:ascii="宋体" w:hAnsi="宋体" w:cs="宋体"/>
          <w:sz w:val="24"/>
        </w:rPr>
      </w:pPr>
    </w:p>
    <w:p w14:paraId="442ABDF7">
      <w:pPr>
        <w:spacing w:line="480" w:lineRule="exact"/>
        <w:ind w:firstLine="4560" w:firstLineChars="1900"/>
        <w:rPr>
          <w:rFonts w:ascii="宋体" w:hAnsi="宋体" w:cs="宋体"/>
          <w:sz w:val="24"/>
        </w:rPr>
      </w:pPr>
      <w:r>
        <w:rPr>
          <w:rFonts w:hint="eastAsia" w:ascii="宋体" w:hAnsi="宋体" w:cs="宋体"/>
          <w:sz w:val="24"/>
        </w:rPr>
        <w:t>投标人（公章）：</w:t>
      </w:r>
    </w:p>
    <w:p w14:paraId="7C76E9D2">
      <w:pPr>
        <w:spacing w:line="480" w:lineRule="exact"/>
        <w:ind w:firstLine="4560" w:firstLineChars="1900"/>
        <w:rPr>
          <w:rFonts w:ascii="宋体" w:hAnsi="宋体" w:cs="宋体"/>
          <w:sz w:val="24"/>
        </w:rPr>
      </w:pPr>
      <w:r>
        <w:rPr>
          <w:rFonts w:hint="eastAsia" w:ascii="宋体" w:hAnsi="宋体" w:cs="宋体"/>
          <w:sz w:val="24"/>
        </w:rPr>
        <w:t>投标人地址：</w:t>
      </w:r>
    </w:p>
    <w:p w14:paraId="3B4EE6C5">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537777B9">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3250663F">
      <w:pPr>
        <w:spacing w:line="480" w:lineRule="exact"/>
        <w:ind w:firstLine="4560" w:firstLineChars="1900"/>
        <w:rPr>
          <w:rFonts w:ascii="宋体" w:hAnsi="宋体" w:cs="宋体"/>
          <w:sz w:val="24"/>
        </w:rPr>
      </w:pPr>
      <w:r>
        <w:rPr>
          <w:rFonts w:hint="eastAsia" w:ascii="宋体" w:hAnsi="宋体" w:cs="宋体"/>
          <w:sz w:val="24"/>
        </w:rPr>
        <w:t>联系电话：</w:t>
      </w:r>
    </w:p>
    <w:p w14:paraId="32D0002A">
      <w:pPr>
        <w:spacing w:line="480" w:lineRule="exact"/>
        <w:ind w:firstLine="4560" w:firstLineChars="1900"/>
        <w:rPr>
          <w:rFonts w:ascii="宋体" w:hAnsi="宋体" w:cs="宋体"/>
          <w:sz w:val="24"/>
        </w:rPr>
      </w:pPr>
      <w:r>
        <w:rPr>
          <w:rFonts w:hint="eastAsia" w:ascii="宋体" w:hAnsi="宋体" w:cs="宋体"/>
          <w:sz w:val="24"/>
        </w:rPr>
        <w:t>日    期：</w:t>
      </w:r>
    </w:p>
    <w:p w14:paraId="2F916AAF">
      <w:pPr>
        <w:rPr>
          <w:rFonts w:ascii="宋体" w:hAnsi="宋体" w:cs="宋体"/>
          <w:sz w:val="24"/>
        </w:rPr>
      </w:pPr>
    </w:p>
    <w:p w14:paraId="6BC77721">
      <w:pPr>
        <w:rPr>
          <w:rFonts w:ascii="宋体" w:hAnsi="宋体" w:cs="宋体"/>
          <w:sz w:val="24"/>
        </w:rPr>
      </w:pPr>
    </w:p>
    <w:p w14:paraId="62603E50">
      <w:pPr>
        <w:pStyle w:val="8"/>
      </w:pPr>
    </w:p>
    <w:p w14:paraId="1CCEE21A">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6A0A402E">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31C46423">
      <w:pPr>
        <w:spacing w:line="560" w:lineRule="exact"/>
        <w:jc w:val="center"/>
        <w:rPr>
          <w:rFonts w:ascii="宋体" w:hAnsi="宋体"/>
          <w:b/>
          <w:sz w:val="28"/>
          <w:szCs w:val="28"/>
        </w:rPr>
      </w:pPr>
      <w:r>
        <w:rPr>
          <w:rFonts w:hint="eastAsia" w:ascii="宋体" w:hAnsi="宋体"/>
          <w:b/>
          <w:sz w:val="28"/>
          <w:szCs w:val="28"/>
        </w:rPr>
        <w:t xml:space="preserve">报价明细表    </w:t>
      </w:r>
    </w:p>
    <w:p w14:paraId="169A6492">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953" w:type="pct"/>
        <w:jc w:val="center"/>
        <w:tblLayout w:type="fixed"/>
        <w:tblCellMar>
          <w:top w:w="0" w:type="dxa"/>
          <w:left w:w="108" w:type="dxa"/>
          <w:bottom w:w="0" w:type="dxa"/>
          <w:right w:w="108" w:type="dxa"/>
        </w:tblCellMar>
      </w:tblPr>
      <w:tblGrid>
        <w:gridCol w:w="1399"/>
        <w:gridCol w:w="4634"/>
        <w:gridCol w:w="2319"/>
        <w:gridCol w:w="1794"/>
      </w:tblGrid>
      <w:tr w14:paraId="3E029280">
        <w:tblPrEx>
          <w:tblCellMar>
            <w:top w:w="0" w:type="dxa"/>
            <w:left w:w="108" w:type="dxa"/>
            <w:bottom w:w="0" w:type="dxa"/>
            <w:right w:w="108" w:type="dxa"/>
          </w:tblCellMar>
        </w:tblPrEx>
        <w:trPr>
          <w:trHeight w:val="295" w:hRule="atLeast"/>
          <w:jc w:val="center"/>
        </w:trPr>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90619">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服务内容</w:t>
            </w:r>
          </w:p>
        </w:tc>
        <w:tc>
          <w:tcPr>
            <w:tcW w:w="3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E48C2">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具体要求</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849BB">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预算费用（元）</w:t>
            </w:r>
          </w:p>
        </w:tc>
      </w:tr>
      <w:tr w14:paraId="089BA03A">
        <w:tblPrEx>
          <w:tblCellMar>
            <w:top w:w="0" w:type="dxa"/>
            <w:left w:w="108" w:type="dxa"/>
            <w:bottom w:w="0" w:type="dxa"/>
            <w:right w:w="108" w:type="dxa"/>
          </w:tblCellMar>
        </w:tblPrEx>
        <w:trPr>
          <w:trHeight w:val="9771" w:hRule="atLeast"/>
          <w:jc w:val="center"/>
        </w:trPr>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FC5F7">
            <w:pPr>
              <w:widowControl/>
              <w:jc w:val="center"/>
              <w:textAlignment w:val="center"/>
              <w:rPr>
                <w:rFonts w:ascii="仿宋" w:hAnsi="仿宋" w:eastAsia="仿宋" w:cs="仿宋"/>
                <w:kern w:val="0"/>
                <w:sz w:val="24"/>
              </w:rPr>
            </w:pPr>
            <w:r>
              <w:rPr>
                <w:rFonts w:hint="eastAsia" w:ascii="仿宋" w:hAnsi="仿宋" w:eastAsia="仿宋" w:cs="仿宋"/>
                <w:kern w:val="0"/>
                <w:sz w:val="24"/>
              </w:rPr>
              <w:t>海珠校区图书馆图书的整理、数据采集、核对、打包和搬迁</w:t>
            </w:r>
          </w:p>
        </w:tc>
        <w:tc>
          <w:tcPr>
            <w:tcW w:w="3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30F8CF">
            <w:pPr>
              <w:ind w:firstLine="120" w:firstLineChars="50"/>
              <w:rPr>
                <w:rFonts w:ascii="仿宋" w:hAnsi="仿宋" w:eastAsia="仿宋" w:cs="仿宋"/>
                <w:sz w:val="24"/>
              </w:rPr>
            </w:pPr>
            <w:r>
              <w:rPr>
                <w:rFonts w:hint="eastAsia" w:ascii="仿宋" w:hAnsi="仿宋" w:eastAsia="仿宋" w:cs="仿宋"/>
                <w:sz w:val="24"/>
              </w:rPr>
              <w:t>（一）盘点范围</w:t>
            </w:r>
          </w:p>
          <w:p w14:paraId="1400EF48">
            <w:pPr>
              <w:ind w:firstLine="120" w:firstLineChars="50"/>
              <w:rPr>
                <w:rFonts w:ascii="仿宋" w:hAnsi="仿宋" w:eastAsia="仿宋" w:cs="仿宋"/>
                <w:sz w:val="24"/>
              </w:rPr>
            </w:pPr>
            <w:r>
              <w:rPr>
                <w:rFonts w:hint="eastAsia" w:ascii="仿宋" w:hAnsi="仿宋" w:eastAsia="仿宋" w:cs="仿宋"/>
                <w:sz w:val="24"/>
              </w:rPr>
              <w:t>1.覆盖区域：海珠校区图书馆流通书库6排在架图书及集装箱打包图书。</w:t>
            </w:r>
          </w:p>
          <w:p w14:paraId="5149626A">
            <w:pPr>
              <w:ind w:firstLine="120" w:firstLineChars="50"/>
              <w:rPr>
                <w:rFonts w:ascii="仿宋" w:hAnsi="仿宋" w:eastAsia="仿宋" w:cs="仿宋"/>
                <w:sz w:val="24"/>
              </w:rPr>
            </w:pPr>
            <w:r>
              <w:rPr>
                <w:rFonts w:hint="eastAsia" w:ascii="仿宋" w:hAnsi="仿宋" w:eastAsia="仿宋" w:cs="仿宋"/>
                <w:sz w:val="24"/>
              </w:rPr>
              <w:t>2.数量规模：预计涉及实体图书约5.3万册。</w:t>
            </w:r>
          </w:p>
          <w:p w14:paraId="09B693F6">
            <w:pPr>
              <w:ind w:firstLine="120" w:firstLineChars="50"/>
              <w:rPr>
                <w:rFonts w:ascii="仿宋" w:hAnsi="仿宋" w:eastAsia="仿宋" w:cs="仿宋"/>
                <w:sz w:val="24"/>
              </w:rPr>
            </w:pPr>
            <w:r>
              <w:rPr>
                <w:rFonts w:hint="eastAsia" w:ascii="仿宋" w:hAnsi="仿宋" w:eastAsia="仿宋" w:cs="仿宋"/>
                <w:sz w:val="24"/>
              </w:rPr>
              <w:t>（二）工作内容</w:t>
            </w:r>
          </w:p>
          <w:p w14:paraId="32375992">
            <w:pPr>
              <w:adjustRightInd w:val="0"/>
              <w:snapToGrid w:val="0"/>
              <w:spacing w:line="312" w:lineRule="auto"/>
              <w:ind w:left="210"/>
              <w:rPr>
                <w:rFonts w:ascii="仿宋" w:hAnsi="仿宋" w:eastAsia="仿宋" w:cs="仿宋"/>
                <w:sz w:val="24"/>
              </w:rPr>
            </w:pPr>
            <w:r>
              <w:rPr>
                <w:rFonts w:hint="eastAsia" w:ascii="仿宋" w:hAnsi="仿宋" w:eastAsia="仿宋" w:cs="仿宋"/>
                <w:sz w:val="24"/>
              </w:rPr>
              <w:t>1.图书整理：按《中国图书馆分类法》（第五版）进行物理归类。</w:t>
            </w:r>
          </w:p>
          <w:p w14:paraId="10B39CE8">
            <w:pPr>
              <w:adjustRightInd w:val="0"/>
              <w:snapToGrid w:val="0"/>
              <w:spacing w:line="312" w:lineRule="auto"/>
              <w:ind w:left="210"/>
              <w:rPr>
                <w:rFonts w:ascii="仿宋" w:hAnsi="仿宋" w:eastAsia="仿宋" w:cs="仿宋"/>
                <w:sz w:val="24"/>
              </w:rPr>
            </w:pPr>
            <w:r>
              <w:rPr>
                <w:rFonts w:hint="eastAsia" w:ascii="仿宋" w:hAnsi="仿宋" w:eastAsia="仿宋" w:cs="仿宋"/>
                <w:sz w:val="24"/>
              </w:rPr>
              <w:t>2.数据采集：使用专业的数据采集设备或利用图书管理系统逐册采集图书。</w:t>
            </w:r>
          </w:p>
          <w:p w14:paraId="60E4180F">
            <w:pPr>
              <w:adjustRightInd w:val="0"/>
              <w:snapToGrid w:val="0"/>
              <w:spacing w:line="312" w:lineRule="auto"/>
              <w:ind w:left="210"/>
              <w:rPr>
                <w:rFonts w:ascii="仿宋" w:hAnsi="仿宋" w:eastAsia="仿宋" w:cs="仿宋"/>
                <w:sz w:val="24"/>
              </w:rPr>
            </w:pPr>
            <w:r>
              <w:rPr>
                <w:rFonts w:hint="eastAsia" w:ascii="仿宋" w:hAnsi="仿宋" w:eastAsia="仿宋" w:cs="仿宋"/>
                <w:sz w:val="24"/>
              </w:rPr>
              <w:t xml:space="preserve">3.数据核对与修正：以实体书数据为基准，修正图书管理系统数据，建立准确的书目数据库。 </w:t>
            </w:r>
          </w:p>
          <w:p w14:paraId="59CFCCAF">
            <w:pPr>
              <w:adjustRightInd w:val="0"/>
              <w:snapToGrid w:val="0"/>
              <w:spacing w:line="312" w:lineRule="auto"/>
              <w:ind w:left="210"/>
              <w:rPr>
                <w:rFonts w:ascii="仿宋" w:hAnsi="仿宋" w:eastAsia="仿宋" w:cs="仿宋"/>
                <w:sz w:val="24"/>
              </w:rPr>
            </w:pPr>
            <w:r>
              <w:rPr>
                <w:rFonts w:hint="eastAsia" w:ascii="仿宋" w:hAnsi="仿宋" w:eastAsia="仿宋" w:cs="仿宋"/>
                <w:sz w:val="24"/>
              </w:rPr>
              <w:t>4.生成图书采集清单及三套数据（财务资产、系统数据、实体数据）的《差异分析报告》。</w:t>
            </w:r>
          </w:p>
          <w:p w14:paraId="7E6CFC03">
            <w:pPr>
              <w:adjustRightInd w:val="0"/>
              <w:snapToGrid w:val="0"/>
              <w:spacing w:line="312" w:lineRule="auto"/>
              <w:ind w:left="210"/>
              <w:rPr>
                <w:rFonts w:ascii="仿宋" w:hAnsi="仿宋" w:eastAsia="仿宋" w:cs="仿宋"/>
                <w:sz w:val="24"/>
              </w:rPr>
            </w:pPr>
            <w:r>
              <w:rPr>
                <w:rFonts w:hint="eastAsia" w:ascii="仿宋" w:hAnsi="仿宋" w:eastAsia="仿宋" w:cs="仿宋"/>
                <w:sz w:val="24"/>
              </w:rPr>
              <w:t>5.打包搬迁</w:t>
            </w:r>
          </w:p>
          <w:p w14:paraId="38555314">
            <w:pPr>
              <w:adjustRightInd w:val="0"/>
              <w:snapToGrid w:val="0"/>
              <w:spacing w:line="312" w:lineRule="auto"/>
              <w:ind w:left="210"/>
              <w:rPr>
                <w:rFonts w:ascii="仿宋" w:hAnsi="仿宋" w:eastAsia="仿宋" w:cs="仿宋"/>
                <w:sz w:val="24"/>
              </w:rPr>
            </w:pPr>
            <w:r>
              <w:rPr>
                <w:rFonts w:hint="eastAsia" w:ascii="仿宋" w:hAnsi="仿宋" w:eastAsia="仿宋" w:cs="仿宋"/>
                <w:sz w:val="24"/>
              </w:rPr>
              <w:t>根据馆藏位置分情况处理图书：</w:t>
            </w:r>
          </w:p>
          <w:p w14:paraId="09EAC57C">
            <w:pPr>
              <w:adjustRightInd w:val="0"/>
              <w:snapToGrid w:val="0"/>
              <w:spacing w:line="312" w:lineRule="auto"/>
              <w:ind w:left="210"/>
              <w:rPr>
                <w:rFonts w:ascii="仿宋" w:hAnsi="仿宋" w:eastAsia="仿宋" w:cs="仿宋"/>
                <w:sz w:val="24"/>
              </w:rPr>
            </w:pPr>
            <w:r>
              <w:rPr>
                <w:rFonts w:hint="eastAsia" w:ascii="仿宋" w:hAnsi="仿宋" w:eastAsia="仿宋" w:cs="仿宋"/>
                <w:sz w:val="24"/>
              </w:rPr>
              <w:t>（1）在架图书：清点后按原架位归置，确保可追溯性。</w:t>
            </w:r>
          </w:p>
          <w:p w14:paraId="68F94F08">
            <w:pPr>
              <w:adjustRightInd w:val="0"/>
              <w:snapToGrid w:val="0"/>
              <w:spacing w:line="312" w:lineRule="auto"/>
              <w:ind w:left="210"/>
              <w:rPr>
                <w:rFonts w:ascii="仿宋" w:hAnsi="仿宋" w:eastAsia="仿宋" w:cs="仿宋"/>
                <w:sz w:val="24"/>
              </w:rPr>
            </w:pPr>
            <w:r>
              <w:rPr>
                <w:rFonts w:hint="eastAsia" w:ascii="仿宋" w:hAnsi="仿宋" w:eastAsia="仿宋" w:cs="仿宋"/>
                <w:sz w:val="24"/>
              </w:rPr>
              <w:t>（2）集装箱图书：按中图法22大类分类打包，使用防水牛皮纸打包。包装标注分类号区间、册数、装包清单。</w:t>
            </w:r>
          </w:p>
          <w:p w14:paraId="72ED9491">
            <w:pPr>
              <w:adjustRightInd w:val="0"/>
              <w:snapToGrid w:val="0"/>
              <w:spacing w:line="312" w:lineRule="auto"/>
              <w:ind w:left="210"/>
              <w:rPr>
                <w:rFonts w:ascii="仿宋" w:hAnsi="仿宋" w:eastAsia="仿宋" w:cs="仿宋"/>
                <w:sz w:val="24"/>
              </w:rPr>
            </w:pPr>
            <w:r>
              <w:rPr>
                <w:rFonts w:hint="eastAsia" w:ascii="仿宋" w:hAnsi="仿宋" w:eastAsia="仿宋" w:cs="仿宋"/>
                <w:sz w:val="24"/>
              </w:rPr>
              <w:t>（3）搬迁要求：搬运至天河校区图书馆（广州市天河区广汕一路297号），图书损坏率≤0.01%，提供打包单、运输签收单及天河校区接收确认凭证。</w:t>
            </w:r>
          </w:p>
          <w:p w14:paraId="0C995862">
            <w:pPr>
              <w:adjustRightInd w:val="0"/>
              <w:snapToGrid w:val="0"/>
              <w:spacing w:line="312" w:lineRule="auto"/>
              <w:ind w:firstLine="120" w:firstLineChars="50"/>
              <w:rPr>
                <w:rFonts w:ascii="仿宋" w:hAnsi="仿宋" w:eastAsia="仿宋" w:cs="仿宋"/>
                <w:sz w:val="24"/>
              </w:rPr>
            </w:pPr>
            <w:r>
              <w:rPr>
                <w:rFonts w:hint="eastAsia" w:ascii="仿宋" w:hAnsi="仿宋" w:eastAsia="仿宋" w:cs="仿宋"/>
                <w:sz w:val="24"/>
              </w:rPr>
              <w:t>（三）质量指标</w:t>
            </w:r>
          </w:p>
          <w:p w14:paraId="5BD7220A">
            <w:pPr>
              <w:adjustRightInd w:val="0"/>
              <w:snapToGrid w:val="0"/>
              <w:spacing w:line="312" w:lineRule="auto"/>
              <w:ind w:left="210"/>
              <w:rPr>
                <w:rFonts w:ascii="仿宋" w:hAnsi="仿宋" w:eastAsia="仿宋" w:cs="仿宋"/>
                <w:sz w:val="24"/>
              </w:rPr>
            </w:pPr>
          </w:p>
          <w:tbl>
            <w:tblPr>
              <w:tblStyle w:val="11"/>
              <w:tblpPr w:leftFromText="180" w:rightFromText="180" w:vertAnchor="text" w:horzAnchor="page" w:tblpX="856" w:tblpY="-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2160"/>
            </w:tblGrid>
            <w:tr w14:paraId="361E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5C31937">
                  <w:pPr>
                    <w:adjustRightInd w:val="0"/>
                    <w:snapToGrid w:val="0"/>
                    <w:spacing w:line="312" w:lineRule="auto"/>
                    <w:ind w:left="210"/>
                    <w:rPr>
                      <w:rFonts w:ascii="仿宋" w:hAnsi="仿宋" w:eastAsia="仿宋" w:cs="仿宋"/>
                      <w:sz w:val="24"/>
                    </w:rPr>
                  </w:pPr>
                  <w:r>
                    <w:rPr>
                      <w:rFonts w:hint="eastAsia" w:ascii="仿宋" w:hAnsi="仿宋" w:eastAsia="仿宋" w:cs="仿宋"/>
                      <w:sz w:val="24"/>
                    </w:rPr>
                    <w:t>指标项</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94A9442">
                  <w:pPr>
                    <w:adjustRightInd w:val="0"/>
                    <w:snapToGrid w:val="0"/>
                    <w:spacing w:line="312" w:lineRule="auto"/>
                    <w:ind w:left="210"/>
                    <w:rPr>
                      <w:rFonts w:ascii="仿宋" w:hAnsi="仿宋" w:eastAsia="仿宋" w:cs="仿宋"/>
                      <w:sz w:val="24"/>
                    </w:rPr>
                  </w:pPr>
                  <w:r>
                    <w:rPr>
                      <w:rFonts w:hint="eastAsia" w:ascii="仿宋" w:hAnsi="仿宋" w:eastAsia="仿宋" w:cs="仿宋"/>
                      <w:sz w:val="24"/>
                    </w:rPr>
                    <w:t>标准要求</w:t>
                  </w:r>
                </w:p>
              </w:tc>
            </w:tr>
            <w:tr w14:paraId="1B5F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5B3745F">
                  <w:pPr>
                    <w:adjustRightInd w:val="0"/>
                    <w:snapToGrid w:val="0"/>
                    <w:spacing w:line="312" w:lineRule="auto"/>
                    <w:ind w:left="210"/>
                    <w:rPr>
                      <w:rFonts w:ascii="仿宋" w:hAnsi="仿宋" w:eastAsia="仿宋" w:cs="仿宋"/>
                      <w:sz w:val="24"/>
                    </w:rPr>
                  </w:pPr>
                  <w:r>
                    <w:rPr>
                      <w:rFonts w:hint="eastAsia" w:ascii="仿宋" w:hAnsi="仿宋" w:eastAsia="仿宋" w:cs="仿宋"/>
                      <w:sz w:val="24"/>
                    </w:rPr>
                    <w:t>数据采集准确率</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99CB2C3">
                  <w:pPr>
                    <w:adjustRightInd w:val="0"/>
                    <w:snapToGrid w:val="0"/>
                    <w:spacing w:line="312" w:lineRule="auto"/>
                    <w:ind w:left="210"/>
                    <w:rPr>
                      <w:rFonts w:ascii="仿宋" w:hAnsi="仿宋" w:eastAsia="仿宋" w:cs="仿宋"/>
                      <w:sz w:val="24"/>
                    </w:rPr>
                  </w:pPr>
                  <w:r>
                    <w:rPr>
                      <w:rFonts w:hint="eastAsia" w:ascii="仿宋" w:hAnsi="仿宋" w:eastAsia="仿宋" w:cs="仿宋"/>
                      <w:sz w:val="24"/>
                    </w:rPr>
                    <w:t>≥99.9%</w:t>
                  </w:r>
                </w:p>
              </w:tc>
            </w:tr>
            <w:tr w14:paraId="3396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800358E">
                  <w:pPr>
                    <w:adjustRightInd w:val="0"/>
                    <w:snapToGrid w:val="0"/>
                    <w:spacing w:line="312" w:lineRule="auto"/>
                    <w:ind w:left="210"/>
                    <w:rPr>
                      <w:rFonts w:ascii="仿宋" w:hAnsi="仿宋" w:eastAsia="仿宋" w:cs="仿宋"/>
                      <w:sz w:val="24"/>
                    </w:rPr>
                  </w:pPr>
                  <w:r>
                    <w:rPr>
                      <w:rFonts w:hint="eastAsia" w:ascii="仿宋" w:hAnsi="仿宋" w:eastAsia="仿宋" w:cs="仿宋"/>
                      <w:sz w:val="24"/>
                    </w:rPr>
                    <w:t>差异修正完成率</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8C483DB">
                  <w:pPr>
                    <w:adjustRightInd w:val="0"/>
                    <w:snapToGrid w:val="0"/>
                    <w:spacing w:line="312" w:lineRule="auto"/>
                    <w:ind w:left="210"/>
                    <w:rPr>
                      <w:rFonts w:ascii="仿宋" w:hAnsi="仿宋" w:eastAsia="仿宋" w:cs="仿宋"/>
                      <w:sz w:val="24"/>
                    </w:rPr>
                  </w:pPr>
                  <w:r>
                    <w:rPr>
                      <w:rFonts w:hint="eastAsia" w:ascii="仿宋" w:hAnsi="仿宋" w:eastAsia="仿宋" w:cs="仿宋"/>
                      <w:sz w:val="24"/>
                    </w:rPr>
                    <w:t>100%</w:t>
                  </w:r>
                </w:p>
              </w:tc>
            </w:tr>
            <w:tr w14:paraId="570B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38E40A5">
                  <w:pPr>
                    <w:adjustRightInd w:val="0"/>
                    <w:snapToGrid w:val="0"/>
                    <w:spacing w:line="312" w:lineRule="auto"/>
                    <w:ind w:left="210"/>
                    <w:rPr>
                      <w:rFonts w:ascii="仿宋" w:hAnsi="仿宋" w:eastAsia="仿宋" w:cs="仿宋"/>
                      <w:sz w:val="24"/>
                    </w:rPr>
                  </w:pPr>
                  <w:r>
                    <w:rPr>
                      <w:rFonts w:hint="eastAsia" w:ascii="仿宋" w:hAnsi="仿宋" w:eastAsia="仿宋" w:cs="仿宋"/>
                      <w:sz w:val="24"/>
                    </w:rPr>
                    <w:t>图书损坏率</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512F265">
                  <w:pPr>
                    <w:adjustRightInd w:val="0"/>
                    <w:snapToGrid w:val="0"/>
                    <w:spacing w:line="312" w:lineRule="auto"/>
                    <w:ind w:left="210"/>
                    <w:rPr>
                      <w:rFonts w:ascii="仿宋" w:hAnsi="仿宋" w:eastAsia="仿宋" w:cs="仿宋"/>
                      <w:sz w:val="24"/>
                    </w:rPr>
                  </w:pPr>
                  <w:r>
                    <w:rPr>
                      <w:rFonts w:hint="eastAsia" w:ascii="仿宋" w:hAnsi="仿宋" w:eastAsia="仿宋" w:cs="仿宋"/>
                      <w:sz w:val="24"/>
                    </w:rPr>
                    <w:t>≤0.01%</w:t>
                  </w:r>
                </w:p>
              </w:tc>
            </w:tr>
            <w:tr w14:paraId="669D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0150329">
                  <w:pPr>
                    <w:adjustRightInd w:val="0"/>
                    <w:snapToGrid w:val="0"/>
                    <w:spacing w:line="312" w:lineRule="auto"/>
                    <w:ind w:left="210"/>
                    <w:rPr>
                      <w:rFonts w:ascii="仿宋" w:hAnsi="仿宋" w:eastAsia="仿宋" w:cs="仿宋"/>
                      <w:sz w:val="24"/>
                    </w:rPr>
                  </w:pPr>
                  <w:r>
                    <w:rPr>
                      <w:rFonts w:hint="eastAsia" w:ascii="仿宋" w:hAnsi="仿宋" w:eastAsia="仿宋" w:cs="仿宋"/>
                      <w:sz w:val="24"/>
                    </w:rPr>
                    <w:t>文档完整性</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515C782">
                  <w:pPr>
                    <w:adjustRightInd w:val="0"/>
                    <w:snapToGrid w:val="0"/>
                    <w:spacing w:line="312" w:lineRule="auto"/>
                    <w:ind w:left="210"/>
                    <w:rPr>
                      <w:rFonts w:ascii="仿宋" w:hAnsi="仿宋" w:eastAsia="仿宋" w:cs="仿宋"/>
                      <w:sz w:val="24"/>
                    </w:rPr>
                  </w:pPr>
                  <w:r>
                    <w:rPr>
                      <w:rFonts w:hint="eastAsia" w:ascii="仿宋" w:hAnsi="仿宋" w:eastAsia="仿宋" w:cs="仿宋"/>
                      <w:sz w:val="24"/>
                    </w:rPr>
                    <w:t>100%符合规范要求</w:t>
                  </w:r>
                </w:p>
              </w:tc>
            </w:tr>
          </w:tbl>
          <w:p w14:paraId="1B07D23D">
            <w:pPr>
              <w:adjustRightInd w:val="0"/>
              <w:snapToGrid w:val="0"/>
              <w:spacing w:line="312" w:lineRule="auto"/>
              <w:ind w:left="210"/>
              <w:rPr>
                <w:rFonts w:ascii="仿宋" w:hAnsi="仿宋" w:eastAsia="仿宋" w:cs="仿宋"/>
                <w:sz w:val="24"/>
              </w:rPr>
            </w:pPr>
          </w:p>
          <w:p w14:paraId="30FCA764">
            <w:pPr>
              <w:adjustRightInd w:val="0"/>
              <w:snapToGrid w:val="0"/>
              <w:spacing w:line="312" w:lineRule="auto"/>
              <w:ind w:left="210"/>
              <w:rPr>
                <w:rFonts w:ascii="仿宋" w:hAnsi="仿宋" w:eastAsia="仿宋" w:cs="仿宋"/>
                <w:sz w:val="24"/>
              </w:rPr>
            </w:pPr>
          </w:p>
          <w:p w14:paraId="0F1FECE5">
            <w:pPr>
              <w:adjustRightInd w:val="0"/>
              <w:snapToGrid w:val="0"/>
              <w:spacing w:line="312" w:lineRule="auto"/>
              <w:ind w:left="210"/>
              <w:rPr>
                <w:rFonts w:ascii="仿宋" w:hAnsi="仿宋" w:eastAsia="仿宋" w:cs="仿宋"/>
                <w:sz w:val="24"/>
              </w:rPr>
            </w:pPr>
          </w:p>
          <w:p w14:paraId="2D22BCD0">
            <w:pPr>
              <w:adjustRightInd w:val="0"/>
              <w:snapToGrid w:val="0"/>
              <w:spacing w:line="312" w:lineRule="auto"/>
              <w:ind w:left="210"/>
              <w:rPr>
                <w:rFonts w:ascii="仿宋" w:hAnsi="仿宋" w:eastAsia="仿宋" w:cs="仿宋"/>
                <w:sz w:val="24"/>
              </w:rPr>
            </w:pPr>
          </w:p>
          <w:p w14:paraId="00EB95E1">
            <w:pPr>
              <w:adjustRightInd w:val="0"/>
              <w:snapToGrid w:val="0"/>
              <w:spacing w:line="312" w:lineRule="auto"/>
              <w:ind w:left="210"/>
              <w:rPr>
                <w:rFonts w:ascii="仿宋" w:hAnsi="仿宋" w:eastAsia="仿宋" w:cs="仿宋"/>
                <w:sz w:val="24"/>
              </w:rPr>
            </w:pPr>
          </w:p>
          <w:p w14:paraId="719EF63D">
            <w:pPr>
              <w:adjustRightInd w:val="0"/>
              <w:snapToGrid w:val="0"/>
              <w:spacing w:line="312" w:lineRule="auto"/>
              <w:ind w:left="210"/>
              <w:rPr>
                <w:rFonts w:ascii="仿宋" w:hAnsi="仿宋" w:eastAsia="仿宋" w:cs="仿宋"/>
                <w:sz w:val="24"/>
              </w:rPr>
            </w:pPr>
          </w:p>
          <w:p w14:paraId="6CB4468F">
            <w:pPr>
              <w:rPr>
                <w:rFonts w:ascii="仿宋" w:hAnsi="仿宋" w:eastAsia="仿宋" w:cs="仿宋"/>
                <w:sz w:val="24"/>
              </w:rPr>
            </w:pPr>
            <w:r>
              <w:rPr>
                <w:rFonts w:hint="eastAsia" w:ascii="仿宋" w:hAnsi="仿宋" w:eastAsia="仿宋" w:cs="仿宋"/>
                <w:sz w:val="24"/>
              </w:rPr>
              <w:t>（四）执行要求</w:t>
            </w:r>
            <w:r>
              <w:rPr>
                <w:rFonts w:hint="eastAsia" w:ascii="MS Mincho" w:hAnsi="MS Mincho" w:eastAsia="MS Mincho" w:cs="MS Mincho"/>
                <w:sz w:val="24"/>
              </w:rPr>
              <w:t>​</w:t>
            </w:r>
          </w:p>
          <w:p w14:paraId="47173371">
            <w:pPr>
              <w:ind w:firstLine="480" w:firstLineChars="200"/>
              <w:rPr>
                <w:rFonts w:ascii="仿宋" w:hAnsi="仿宋" w:eastAsia="仿宋" w:cs="仿宋"/>
                <w:sz w:val="24"/>
              </w:rPr>
            </w:pPr>
            <w:r>
              <w:rPr>
                <w:rFonts w:hint="eastAsia" w:ascii="仿宋" w:hAnsi="仿宋" w:eastAsia="仿宋" w:cs="仿宋"/>
                <w:sz w:val="24"/>
              </w:rPr>
              <w:t>1.配备至少1名项目负责人，项目执行团队需具备丰富的图书馆图书盘点经验，团队成员应熟悉图书分类体系和图书馆管理流程。</w:t>
            </w:r>
            <w:r>
              <w:rPr>
                <w:rFonts w:hint="eastAsia" w:ascii="MS Mincho" w:hAnsi="MS Mincho" w:eastAsia="MS Mincho" w:cs="MS Mincho"/>
                <w:sz w:val="24"/>
              </w:rPr>
              <w:t>​</w:t>
            </w:r>
          </w:p>
          <w:p w14:paraId="445D9188">
            <w:pPr>
              <w:ind w:firstLine="480" w:firstLineChars="200"/>
              <w:rPr>
                <w:rFonts w:ascii="仿宋" w:hAnsi="仿宋" w:eastAsia="仿宋" w:cs="仿宋"/>
                <w:sz w:val="24"/>
              </w:rPr>
            </w:pPr>
            <w:r>
              <w:rPr>
                <w:rFonts w:hint="eastAsia" w:ascii="仿宋" w:hAnsi="仿宋" w:eastAsia="仿宋" w:cs="仿宋"/>
                <w:sz w:val="24"/>
              </w:rPr>
              <w:t>2.在数据采集过程中，数据准确率需达到 99% 以上。</w:t>
            </w:r>
          </w:p>
          <w:p w14:paraId="6AA4E0FD">
            <w:pPr>
              <w:ind w:firstLine="480" w:firstLineChars="200"/>
              <w:rPr>
                <w:rFonts w:ascii="仿宋" w:hAnsi="仿宋" w:eastAsia="仿宋" w:cs="仿宋"/>
                <w:sz w:val="24"/>
              </w:rPr>
            </w:pPr>
            <w:r>
              <w:rPr>
                <w:rFonts w:hint="eastAsia" w:ascii="仿宋" w:hAnsi="仿宋" w:eastAsia="仿宋" w:cs="仿宋"/>
                <w:sz w:val="24"/>
              </w:rPr>
              <w:t>3.投标方需自备专业扫码设备及打包工具（打包机、打包带、防水纸）等。</w:t>
            </w:r>
          </w:p>
          <w:p w14:paraId="7A28355D">
            <w:pPr>
              <w:ind w:firstLine="480" w:firstLineChars="200"/>
              <w:rPr>
                <w:rFonts w:ascii="仿宋" w:hAnsi="仿宋" w:eastAsia="仿宋" w:cs="仿宋"/>
                <w:sz w:val="24"/>
              </w:rPr>
            </w:pPr>
            <w:r>
              <w:rPr>
                <w:rFonts w:hint="eastAsia" w:ascii="仿宋" w:hAnsi="仿宋" w:eastAsia="仿宋" w:cs="仿宋"/>
                <w:sz w:val="24"/>
              </w:rPr>
              <w:t>4.提供详细的项目执行过程文档，包括数据采集清单、差异数据处理记录、图书打包清单等。</w:t>
            </w:r>
          </w:p>
          <w:p w14:paraId="289F796B">
            <w:pPr>
              <w:ind w:firstLine="480" w:firstLineChars="200"/>
              <w:rPr>
                <w:rFonts w:ascii="仿宋" w:hAnsi="仿宋" w:eastAsia="仿宋" w:cs="仿宋"/>
                <w:sz w:val="24"/>
              </w:rPr>
            </w:pPr>
            <w:r>
              <w:rPr>
                <w:rFonts w:hint="eastAsia" w:ascii="仿宋" w:hAnsi="仿宋" w:eastAsia="仿宋" w:cs="仿宋"/>
                <w:sz w:val="24"/>
              </w:rPr>
              <w:t>5签署保密协议，承诺不泄露任何图书数据及资产信息。</w:t>
            </w:r>
          </w:p>
          <w:p w14:paraId="08654312">
            <w:pPr>
              <w:rPr>
                <w:rFonts w:ascii="仿宋" w:hAnsi="仿宋" w:eastAsia="仿宋" w:cs="仿宋"/>
                <w:sz w:val="24"/>
              </w:rPr>
            </w:pPr>
            <w:r>
              <w:rPr>
                <w:rFonts w:hint="eastAsia" w:ascii="仿宋" w:hAnsi="仿宋" w:eastAsia="仿宋" w:cs="仿宋"/>
                <w:sz w:val="24"/>
              </w:rPr>
              <w:t>（五）验收标准</w:t>
            </w:r>
          </w:p>
          <w:p w14:paraId="5166C030">
            <w:pPr>
              <w:ind w:firstLine="480" w:firstLineChars="200"/>
              <w:rPr>
                <w:rFonts w:ascii="仿宋" w:hAnsi="仿宋" w:eastAsia="仿宋" w:cs="仿宋"/>
                <w:sz w:val="24"/>
              </w:rPr>
            </w:pPr>
            <w:r>
              <w:rPr>
                <w:rFonts w:hint="eastAsia" w:ascii="仿宋" w:hAnsi="仿宋" w:eastAsia="仿宋" w:cs="仿宋"/>
                <w:sz w:val="24"/>
              </w:rPr>
              <w:t>一、交付成果要求</w:t>
            </w:r>
          </w:p>
          <w:p w14:paraId="1045BAB6">
            <w:pPr>
              <w:ind w:firstLine="480" w:firstLineChars="200"/>
              <w:rPr>
                <w:rFonts w:ascii="仿宋" w:hAnsi="仿宋" w:eastAsia="仿宋" w:cs="仿宋"/>
                <w:sz w:val="24"/>
              </w:rPr>
            </w:pPr>
            <w:r>
              <w:rPr>
                <w:rFonts w:hint="eastAsia" w:ascii="仿宋" w:hAnsi="仿宋" w:eastAsia="仿宋" w:cs="仿宋"/>
                <w:sz w:val="24"/>
              </w:rPr>
              <w:t>1.图书盘点清单：需提交电子版（Excel格式）及纸质盖章版，无遗漏或重复记录。内容包括但不限于：书名、ISBN、条形码、单价、册数、出版年份、作者、索书号、馆藏位置、图书状态等。</w:t>
            </w:r>
          </w:p>
          <w:p w14:paraId="38758F90">
            <w:pPr>
              <w:ind w:firstLine="480" w:firstLineChars="200"/>
              <w:rPr>
                <w:rFonts w:ascii="仿宋" w:hAnsi="仿宋" w:eastAsia="仿宋" w:cs="仿宋"/>
                <w:sz w:val="24"/>
              </w:rPr>
            </w:pPr>
            <w:r>
              <w:rPr>
                <w:rFonts w:hint="eastAsia" w:ascii="仿宋" w:hAnsi="仿宋" w:eastAsia="仿宋" w:cs="仿宋"/>
                <w:sz w:val="24"/>
              </w:rPr>
              <w:t>2.报告文件：</w:t>
            </w:r>
          </w:p>
          <w:p w14:paraId="418C9C27">
            <w:pPr>
              <w:ind w:firstLine="480" w:firstLineChars="200"/>
              <w:rPr>
                <w:rFonts w:ascii="仿宋" w:hAnsi="仿宋" w:eastAsia="仿宋" w:cs="仿宋"/>
                <w:sz w:val="24"/>
              </w:rPr>
            </w:pPr>
            <w:r>
              <w:rPr>
                <w:rFonts w:hint="eastAsia" w:ascii="仿宋" w:hAnsi="仿宋" w:eastAsia="仿宋" w:cs="仿宋"/>
                <w:sz w:val="24"/>
              </w:rPr>
              <w:t>差异分析报告：说明财务、系统、实体数据差异情况及修正记录。</w:t>
            </w:r>
          </w:p>
          <w:p w14:paraId="1A07AF57">
            <w:pPr>
              <w:ind w:firstLine="480" w:firstLineChars="200"/>
              <w:rPr>
                <w:rFonts w:ascii="仿宋" w:hAnsi="仿宋" w:eastAsia="仿宋" w:cs="仿宋"/>
                <w:sz w:val="24"/>
              </w:rPr>
            </w:pPr>
            <w:r>
              <w:rPr>
                <w:rFonts w:ascii="仿宋" w:hAnsi="仿宋" w:eastAsia="仿宋" w:cs="仿宋"/>
                <w:sz w:val="24"/>
              </w:rPr>
              <w:t>搬迁过程</w:t>
            </w:r>
            <w:r>
              <w:rPr>
                <w:rFonts w:hint="eastAsia" w:ascii="仿宋" w:hAnsi="仿宋" w:eastAsia="仿宋" w:cs="仿宋"/>
                <w:sz w:val="24"/>
              </w:rPr>
              <w:t>材料</w:t>
            </w:r>
            <w:r>
              <w:rPr>
                <w:rFonts w:ascii="仿宋" w:hAnsi="仿宋" w:eastAsia="仿宋" w:cs="仿宋"/>
                <w:sz w:val="24"/>
              </w:rPr>
              <w:t>：含打包编号、运输记录、接收确认单及损坏赔偿清单</w:t>
            </w:r>
            <w:r>
              <w:rPr>
                <w:rFonts w:hint="eastAsia" w:ascii="仿宋" w:hAnsi="仿宋" w:eastAsia="仿宋" w:cs="仿宋"/>
                <w:sz w:val="24"/>
              </w:rPr>
              <w:t>（如有）</w:t>
            </w:r>
            <w:r>
              <w:rPr>
                <w:rFonts w:ascii="仿宋" w:hAnsi="仿宋" w:eastAsia="仿宋" w:cs="仿宋"/>
                <w:sz w:val="24"/>
              </w:rPr>
              <w:t>。</w:t>
            </w:r>
          </w:p>
          <w:p w14:paraId="3BC15382">
            <w:pPr>
              <w:ind w:firstLine="480" w:firstLineChars="200"/>
              <w:rPr>
                <w:rFonts w:ascii="仿宋" w:hAnsi="仿宋" w:eastAsia="仿宋" w:cs="仿宋"/>
                <w:sz w:val="24"/>
              </w:rPr>
            </w:pPr>
            <w:r>
              <w:rPr>
                <w:rFonts w:hint="eastAsia" w:ascii="仿宋" w:hAnsi="仿宋" w:eastAsia="仿宋" w:cs="仿宋"/>
                <w:sz w:val="24"/>
              </w:rPr>
              <w:t>二、验收要求</w:t>
            </w:r>
          </w:p>
          <w:p w14:paraId="4E4B462D">
            <w:pPr>
              <w:ind w:firstLine="480" w:firstLineChars="200"/>
              <w:rPr>
                <w:rFonts w:ascii="仿宋" w:hAnsi="仿宋" w:eastAsia="仿宋" w:cs="仿宋"/>
                <w:sz w:val="24"/>
              </w:rPr>
            </w:pPr>
            <w:r>
              <w:rPr>
                <w:rFonts w:hint="eastAsia" w:ascii="仿宋" w:hAnsi="仿宋" w:eastAsia="仿宋" w:cs="仿宋"/>
                <w:sz w:val="24"/>
              </w:rPr>
              <w:t>1.阶段性验收</w:t>
            </w:r>
            <w:r>
              <w:rPr>
                <w:rFonts w:ascii="仿宋" w:hAnsi="仿宋" w:eastAsia="仿宋" w:cs="仿宋"/>
                <w:sz w:val="24"/>
              </w:rPr>
              <w:t>：在数据采集、核对、打包等关键节点，中标方需提交阶段性成果供图书馆审核，审核通过后方可进入下一环节。</w:t>
            </w:r>
          </w:p>
          <w:p w14:paraId="6AB86921">
            <w:pPr>
              <w:ind w:firstLine="480" w:firstLineChars="200"/>
              <w:rPr>
                <w:rFonts w:ascii="仿宋" w:hAnsi="仿宋" w:eastAsia="仿宋" w:cs="仿宋"/>
                <w:sz w:val="24"/>
              </w:rPr>
            </w:pPr>
            <w:r>
              <w:rPr>
                <w:rFonts w:hint="eastAsia" w:ascii="仿宋" w:hAnsi="仿宋" w:eastAsia="仿宋" w:cs="仿宋"/>
                <w:sz w:val="24"/>
              </w:rPr>
              <w:t>2.</w:t>
            </w:r>
            <w:r>
              <w:rPr>
                <w:rFonts w:ascii="仿宋" w:hAnsi="仿宋" w:eastAsia="仿宋" w:cs="仿宋"/>
                <w:sz w:val="24"/>
              </w:rPr>
              <w:t>最终验收：项目全部完成后，图书馆将根据以下标准进行验收：</w:t>
            </w:r>
          </w:p>
          <w:p w14:paraId="0FE53A23">
            <w:pPr>
              <w:ind w:firstLine="480" w:firstLineChars="200"/>
              <w:rPr>
                <w:rFonts w:ascii="仿宋" w:hAnsi="仿宋" w:eastAsia="仿宋" w:cs="仿宋"/>
                <w:sz w:val="24"/>
              </w:rPr>
            </w:pPr>
            <w:r>
              <w:rPr>
                <w:rFonts w:ascii="仿宋" w:hAnsi="仿宋" w:eastAsia="仿宋" w:cs="仿宋"/>
                <w:sz w:val="24"/>
              </w:rPr>
              <w:t>图书搬迁后无损坏、遗失；</w:t>
            </w:r>
          </w:p>
          <w:p w14:paraId="72DEA14C">
            <w:pPr>
              <w:ind w:firstLine="480" w:firstLineChars="200"/>
              <w:rPr>
                <w:rFonts w:ascii="仿宋" w:hAnsi="仿宋" w:eastAsia="仿宋" w:cs="仿宋"/>
                <w:sz w:val="24"/>
              </w:rPr>
            </w:pPr>
            <w:r>
              <w:rPr>
                <w:rFonts w:ascii="仿宋" w:hAnsi="仿宋" w:eastAsia="仿宋" w:cs="仿宋"/>
                <w:sz w:val="24"/>
              </w:rPr>
              <w:t>数据报告与实际情况完全匹配；</w:t>
            </w:r>
          </w:p>
          <w:p w14:paraId="197CDABE">
            <w:pPr>
              <w:ind w:firstLine="480" w:firstLineChars="200"/>
              <w:rPr>
                <w:rFonts w:ascii="仿宋" w:hAnsi="仿宋" w:eastAsia="仿宋" w:cs="仿宋"/>
                <w:sz w:val="24"/>
              </w:rPr>
            </w:pPr>
            <w:r>
              <w:rPr>
                <w:rFonts w:ascii="仿宋" w:hAnsi="仿宋" w:eastAsia="仿宋" w:cs="仿宋"/>
                <w:sz w:val="24"/>
              </w:rPr>
              <w:t>所有文档（清单、数据库、报告）提交齐全且符合规范。</w:t>
            </w:r>
          </w:p>
          <w:p w14:paraId="6A607FC2">
            <w:pPr>
              <w:ind w:firstLine="480" w:firstLineChars="200"/>
              <w:rPr>
                <w:rFonts w:ascii="仿宋" w:hAnsi="仿宋" w:eastAsia="仿宋" w:cs="仿宋"/>
                <w:sz w:val="24"/>
              </w:rPr>
            </w:pPr>
            <w:r>
              <w:rPr>
                <w:rFonts w:hint="eastAsia" w:ascii="仿宋" w:hAnsi="仿宋" w:eastAsia="仿宋" w:cs="仿宋"/>
                <w:sz w:val="24"/>
              </w:rPr>
              <w:t>3.整改要求：</w:t>
            </w:r>
            <w:r>
              <w:rPr>
                <w:rFonts w:ascii="仿宋" w:hAnsi="仿宋" w:eastAsia="仿宋" w:cs="仿宋"/>
                <w:sz w:val="24"/>
              </w:rPr>
              <w:t>若验收中发现数据遗漏、错误或文档不规范等问题，中标方需</w:t>
            </w:r>
            <w:r>
              <w:rPr>
                <w:rFonts w:hint="eastAsia" w:ascii="仿宋" w:hAnsi="仿宋" w:eastAsia="仿宋" w:cs="仿宋"/>
                <w:sz w:val="24"/>
              </w:rPr>
              <w:t>在</w:t>
            </w:r>
            <w:r>
              <w:rPr>
                <w:rFonts w:ascii="仿宋" w:hAnsi="仿宋" w:eastAsia="仿宋" w:cs="仿宋"/>
                <w:sz w:val="24"/>
              </w:rPr>
              <w:t>3个工作日内完成整改并重新提交，直至验收合格。</w:t>
            </w:r>
          </w:p>
          <w:p w14:paraId="5A12D1D0">
            <w:pPr>
              <w:adjustRightInd w:val="0"/>
              <w:snapToGrid w:val="0"/>
              <w:spacing w:line="312" w:lineRule="auto"/>
              <w:ind w:left="210"/>
              <w:rPr>
                <w:rFonts w:eastAsia="仿宋"/>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CA350">
            <w:pPr>
              <w:widowControl/>
              <w:jc w:val="center"/>
              <w:textAlignment w:val="center"/>
              <w:rPr>
                <w:rFonts w:ascii="仿宋" w:hAnsi="仿宋" w:eastAsia="仿宋" w:cs="仿宋"/>
                <w:sz w:val="24"/>
              </w:rPr>
            </w:pPr>
          </w:p>
        </w:tc>
      </w:tr>
      <w:tr w14:paraId="72FB97F1">
        <w:tblPrEx>
          <w:tblCellMar>
            <w:top w:w="0" w:type="dxa"/>
            <w:left w:w="108" w:type="dxa"/>
            <w:bottom w:w="0" w:type="dxa"/>
            <w:right w:w="108" w:type="dxa"/>
          </w:tblCellMar>
        </w:tblPrEx>
        <w:trPr>
          <w:trHeight w:val="638" w:hRule="atLeast"/>
          <w:jc w:val="center"/>
        </w:trPr>
        <w:tc>
          <w:tcPr>
            <w:tcW w:w="29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823EF">
            <w:pPr>
              <w:widowControl/>
              <w:jc w:val="center"/>
              <w:textAlignment w:val="center"/>
              <w:rPr>
                <w:rFonts w:ascii="仿宋" w:hAnsi="仿宋" w:eastAsia="仿宋" w:cs="仿宋"/>
                <w:kern w:val="0"/>
                <w:sz w:val="24"/>
              </w:rPr>
            </w:pPr>
            <w:r>
              <w:rPr>
                <w:rFonts w:hint="eastAsia" w:ascii="仿宋" w:hAnsi="仿宋" w:eastAsia="仿宋" w:cs="仿宋"/>
                <w:b/>
                <w:bCs/>
                <w:kern w:val="0"/>
                <w:sz w:val="24"/>
              </w:rPr>
              <w:t>合计（元）</w:t>
            </w:r>
          </w:p>
        </w:tc>
        <w:tc>
          <w:tcPr>
            <w:tcW w:w="20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CB063">
            <w:pPr>
              <w:widowControl/>
              <w:jc w:val="center"/>
              <w:textAlignment w:val="center"/>
              <w:rPr>
                <w:rFonts w:ascii="仿宋" w:hAnsi="仿宋" w:eastAsia="仿宋" w:cs="仿宋"/>
                <w:sz w:val="24"/>
              </w:rPr>
            </w:pPr>
          </w:p>
        </w:tc>
      </w:tr>
    </w:tbl>
    <w:p w14:paraId="5B8B6E92">
      <w:pPr>
        <w:snapToGrid w:val="0"/>
        <w:spacing w:line="460" w:lineRule="exact"/>
        <w:rPr>
          <w:rFonts w:hAnsi="宋体"/>
          <w:szCs w:val="21"/>
        </w:rPr>
      </w:pPr>
      <w:r>
        <w:rPr>
          <w:rFonts w:hint="eastAsia" w:hAnsi="宋体"/>
          <w:szCs w:val="21"/>
        </w:rPr>
        <w:t>注：附件2“合计”要与附件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37CEA923">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2A0F8B57">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AEFED13">
      <w:pPr>
        <w:snapToGrid w:val="0"/>
        <w:spacing w:line="460" w:lineRule="exact"/>
        <w:ind w:firstLine="411" w:firstLineChars="196"/>
        <w:rPr>
          <w:rFonts w:hAnsi="宋体"/>
          <w:szCs w:val="21"/>
        </w:rPr>
      </w:pPr>
    </w:p>
    <w:p w14:paraId="1DE9D2C7">
      <w:pPr>
        <w:snapToGrid w:val="0"/>
        <w:spacing w:line="460" w:lineRule="exact"/>
        <w:ind w:firstLine="411" w:firstLineChars="196"/>
        <w:rPr>
          <w:rFonts w:hAnsi="宋体"/>
          <w:szCs w:val="21"/>
        </w:rPr>
      </w:pPr>
    </w:p>
    <w:p w14:paraId="41BD7491">
      <w:pPr>
        <w:rPr>
          <w:rFonts w:ascii="宋体" w:hAnsi="宋体" w:cs="宋体"/>
          <w:b/>
          <w:sz w:val="24"/>
        </w:rPr>
      </w:pPr>
      <w:r>
        <w:rPr>
          <w:rFonts w:hint="eastAsia"/>
          <w:b/>
          <w:sz w:val="24"/>
        </w:rPr>
        <w:t>（注：本报价表为必要文件，必须加盖报价供应商公章，否则作无效报价处理）</w:t>
      </w:r>
    </w:p>
    <w:p w14:paraId="1465D193">
      <w:pPr>
        <w:rPr>
          <w:rFonts w:ascii="宋体" w:hAnsi="宋体" w:cs="宋体"/>
          <w:b/>
          <w:sz w:val="24"/>
        </w:rPr>
      </w:pPr>
      <w:r>
        <w:rPr>
          <w:rFonts w:hint="eastAsia" w:ascii="宋体" w:hAnsi="宋体" w:cs="宋体"/>
          <w:b/>
          <w:sz w:val="24"/>
        </w:rPr>
        <w:br w:type="page"/>
      </w:r>
    </w:p>
    <w:p w14:paraId="1A707F72">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1802C3EF">
      <w:pPr>
        <w:pStyle w:val="3"/>
        <w:spacing w:before="0" w:after="0" w:line="400" w:lineRule="exact"/>
        <w:rPr>
          <w:rFonts w:ascii="宋体" w:hAnsi="宋体" w:cs="宋体"/>
          <w:szCs w:val="28"/>
        </w:rPr>
      </w:pPr>
    </w:p>
    <w:p w14:paraId="2DF5DCD1">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4EB3541">
      <w:pPr>
        <w:pStyle w:val="18"/>
        <w:spacing w:line="480" w:lineRule="auto"/>
        <w:ind w:firstLine="0" w:firstLineChars="0"/>
        <w:jc w:val="left"/>
        <w:rPr>
          <w:rFonts w:ascii="仿宋" w:hAnsi="仿宋" w:eastAsia="仿宋" w:cs="仿宋"/>
          <w:sz w:val="24"/>
        </w:rPr>
      </w:pPr>
    </w:p>
    <w:p w14:paraId="0A3D8065">
      <w:pPr>
        <w:pStyle w:val="18"/>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14:paraId="638A3669">
      <w:pPr>
        <w:pStyle w:val="18"/>
        <w:ind w:firstLine="480"/>
        <w:jc w:val="left"/>
        <w:rPr>
          <w:rFonts w:ascii="宋体" w:hAnsi="宋体" w:cs="宋体"/>
          <w:sz w:val="24"/>
        </w:rPr>
      </w:pPr>
    </w:p>
    <w:p w14:paraId="71FCAFF9">
      <w:pPr>
        <w:tabs>
          <w:tab w:val="left" w:pos="676"/>
          <w:tab w:val="left" w:pos="2330"/>
          <w:tab w:val="left" w:pos="9230"/>
        </w:tabs>
        <w:autoSpaceDE w:val="0"/>
        <w:autoSpaceDN w:val="0"/>
        <w:adjustRightInd w:val="0"/>
        <w:rPr>
          <w:rFonts w:ascii="宋体" w:hAnsi="宋体" w:cs="宋体"/>
          <w:sz w:val="24"/>
        </w:rPr>
      </w:pPr>
    </w:p>
    <w:p w14:paraId="552693DB">
      <w:pPr>
        <w:tabs>
          <w:tab w:val="left" w:pos="676"/>
          <w:tab w:val="left" w:pos="2330"/>
          <w:tab w:val="left" w:pos="9230"/>
        </w:tabs>
        <w:autoSpaceDE w:val="0"/>
        <w:autoSpaceDN w:val="0"/>
        <w:adjustRightInd w:val="0"/>
        <w:rPr>
          <w:rFonts w:ascii="宋体" w:hAnsi="宋体" w:cs="宋体"/>
          <w:sz w:val="24"/>
        </w:rPr>
      </w:pPr>
    </w:p>
    <w:p w14:paraId="514BB5AB">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3D8DCC17">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6D754A39">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428CD25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1F1B13AE">
      <w:pPr>
        <w:rPr>
          <w:rFonts w:cs="Tahoma"/>
          <w:b/>
          <w:sz w:val="24"/>
        </w:rPr>
      </w:pPr>
    </w:p>
    <w:p w14:paraId="29E0DC37">
      <w:pPr>
        <w:rPr>
          <w:rFonts w:cs="Tahoma"/>
          <w:b/>
          <w:sz w:val="24"/>
        </w:rPr>
      </w:pPr>
    </w:p>
    <w:p w14:paraId="729E60D7">
      <w:pPr>
        <w:rPr>
          <w:rFonts w:cs="Tahoma"/>
          <w:b/>
          <w:sz w:val="24"/>
        </w:rPr>
      </w:pPr>
    </w:p>
    <w:p w14:paraId="5D73D578">
      <w:pPr>
        <w:rPr>
          <w:rFonts w:cs="Tahoma"/>
          <w:b/>
          <w:sz w:val="24"/>
        </w:rPr>
      </w:pPr>
    </w:p>
    <w:p w14:paraId="219A9000">
      <w:pPr>
        <w:rPr>
          <w:rFonts w:cs="Tahoma"/>
          <w:b/>
          <w:sz w:val="24"/>
        </w:rPr>
      </w:pPr>
    </w:p>
    <w:p w14:paraId="331BF45C">
      <w:pPr>
        <w:rPr>
          <w:rFonts w:cs="Tahoma"/>
          <w:b/>
          <w:sz w:val="24"/>
        </w:rPr>
      </w:pPr>
    </w:p>
    <w:p w14:paraId="60D65C45">
      <w:pPr>
        <w:rPr>
          <w:rFonts w:cs="Tahoma"/>
          <w:b/>
          <w:sz w:val="24"/>
        </w:rPr>
      </w:pPr>
    </w:p>
    <w:p w14:paraId="2E3C3C2F">
      <w:pPr>
        <w:rPr>
          <w:rFonts w:cs="Tahoma"/>
          <w:b/>
          <w:sz w:val="24"/>
        </w:rPr>
      </w:pPr>
    </w:p>
    <w:p w14:paraId="1012B4B1">
      <w:pPr>
        <w:pStyle w:val="8"/>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4962"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I0ZTQ3MTY3YzU3ZTNhN2EzZDZjNWJhMzY5ODBmYTAifQ=="/>
  </w:docVars>
  <w:rsids>
    <w:rsidRoot w:val="000274CB"/>
    <w:rsid w:val="000274CB"/>
    <w:rsid w:val="00081F53"/>
    <w:rsid w:val="00087999"/>
    <w:rsid w:val="000D2CF8"/>
    <w:rsid w:val="00184378"/>
    <w:rsid w:val="00194B93"/>
    <w:rsid w:val="00247E38"/>
    <w:rsid w:val="00355884"/>
    <w:rsid w:val="00442ACA"/>
    <w:rsid w:val="005226C6"/>
    <w:rsid w:val="0056571E"/>
    <w:rsid w:val="005732E1"/>
    <w:rsid w:val="005748F4"/>
    <w:rsid w:val="0061737F"/>
    <w:rsid w:val="007967CC"/>
    <w:rsid w:val="007D03A0"/>
    <w:rsid w:val="00817C14"/>
    <w:rsid w:val="0088358C"/>
    <w:rsid w:val="008A6928"/>
    <w:rsid w:val="008E0802"/>
    <w:rsid w:val="00A35C7E"/>
    <w:rsid w:val="00B27965"/>
    <w:rsid w:val="00BB2FDB"/>
    <w:rsid w:val="00C72F70"/>
    <w:rsid w:val="00CA0E80"/>
    <w:rsid w:val="00CD1154"/>
    <w:rsid w:val="00CE6F48"/>
    <w:rsid w:val="00D1673C"/>
    <w:rsid w:val="00D67E0D"/>
    <w:rsid w:val="00DA6AC9"/>
    <w:rsid w:val="00E41C7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1FF035A5"/>
    <w:rsid w:val="212177E3"/>
    <w:rsid w:val="218C40B5"/>
    <w:rsid w:val="219E116B"/>
    <w:rsid w:val="229D1137"/>
    <w:rsid w:val="24BB1A74"/>
    <w:rsid w:val="25203CCD"/>
    <w:rsid w:val="264A6E5E"/>
    <w:rsid w:val="27402C58"/>
    <w:rsid w:val="2A17416A"/>
    <w:rsid w:val="2C180514"/>
    <w:rsid w:val="2CD32928"/>
    <w:rsid w:val="2DAA1C44"/>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850354E"/>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rPr>
      <w:rFonts w:ascii="宋体" w:hAnsi="Courier New"/>
      <w:sz w:val="20"/>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22"/>
    <w:rPr>
      <w:b/>
    </w:rPr>
  </w:style>
  <w:style w:type="paragraph" w:customStyle="1" w:styleId="15">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6">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7">
    <w:name w:val="List Paragraph"/>
    <w:basedOn w:val="1"/>
    <w:autoRedefine/>
    <w:unhideWhenUsed/>
    <w:qFormat/>
    <w:uiPriority w:val="34"/>
    <w:pPr>
      <w:ind w:firstLine="420" w:firstLineChars="200"/>
    </w:pPr>
  </w:style>
  <w:style w:type="paragraph" w:customStyle="1" w:styleId="18">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3591</Words>
  <Characters>3726</Characters>
  <Lines>32</Lines>
  <Paragraphs>9</Paragraphs>
  <TotalTime>1</TotalTime>
  <ScaleCrop>false</ScaleCrop>
  <LinksUpToDate>false</LinksUpToDate>
  <CharactersWithSpaces>3905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2025-04-01T07:59:00Z</dcterms:created>
  <dc:creator>nuoxiyu</dc:creator>
  <cp:lastModifiedBy>南巷风</cp:lastModifiedBy>
  <dcterms:modified xsi:type="dcterms:W3CDTF">2025-04-01T08:12:34Z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73DF1C4129474E488C9DFA3E949F46AB_13</vt:lpwstr>
  </property>
  <property fmtid="{D5CDD505-2E9C-101B-9397-08002B2CF9AE}" pid="4" name="KSOTemplateDocerSaveRecord">
    <vt:lpwstr>eyJoZGlkIjoiMzg3Y2VhZmY1ZjNkZjdhZmFhNzgwNGEwOGI5Mjc3MjciLCJ1c2VySWQiOiIzMzQyNDgxMDMifQ==</vt:lpwstr>
  </property>
</Properties>
</file>