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6BE38F">
      <w:pPr>
        <w:spacing w:line="600" w:lineRule="exact"/>
        <w:ind w:firstLine="720" w:firstLineChars="200"/>
        <w:jc w:val="center"/>
        <w:rPr>
          <w:rFonts w:hint="eastAsia" w:ascii="华文中宋" w:hAnsi="华文中宋" w:eastAsia="华文中宋" w:cs="华文中宋"/>
          <w:sz w:val="36"/>
          <w:szCs w:val="36"/>
          <w:lang w:eastAsia="zh-CN"/>
        </w:rPr>
      </w:pPr>
      <w:bookmarkStart w:id="1" w:name="_GoBack"/>
      <w:bookmarkEnd w:id="1"/>
      <w:r>
        <w:rPr>
          <w:rFonts w:hint="eastAsia" w:ascii="华文中宋" w:hAnsi="华文中宋" w:eastAsia="华文中宋" w:cs="华文中宋"/>
          <w:sz w:val="36"/>
          <w:szCs w:val="36"/>
          <w:lang w:val="en-US" w:eastAsia="zh-CN"/>
        </w:rPr>
        <w:t>2025年度</w:t>
      </w:r>
      <w:r>
        <w:rPr>
          <w:rFonts w:hint="eastAsia" w:ascii="华文中宋" w:hAnsi="华文中宋" w:eastAsia="华文中宋" w:cs="华文中宋"/>
          <w:sz w:val="36"/>
          <w:szCs w:val="36"/>
          <w:lang w:eastAsia="zh-CN"/>
        </w:rPr>
        <w:t>全国教育科学规划中国教育法治与全球教育治理研究专项</w:t>
      </w:r>
      <w:r>
        <w:rPr>
          <w:rFonts w:hint="eastAsia" w:ascii="华文中宋" w:hAnsi="华文中宋" w:eastAsia="华文中宋" w:cs="华文中宋"/>
          <w:sz w:val="36"/>
          <w:szCs w:val="36"/>
          <w:lang w:val="en-US" w:eastAsia="zh-CN"/>
        </w:rPr>
        <w:t>指南</w:t>
      </w:r>
    </w:p>
    <w:p w14:paraId="2B4F55ED">
      <w:pPr>
        <w:spacing w:line="560" w:lineRule="exact"/>
        <w:jc w:val="center"/>
        <w:rPr>
          <w:rFonts w:hint="eastAsia" w:ascii="Times New Roman" w:hAnsi="Times New Roman" w:eastAsia="方正小标宋简体" w:cs="方正小标宋简体"/>
          <w:sz w:val="44"/>
          <w:szCs w:val="44"/>
          <w:highlight w:val="none"/>
          <w:lang w:eastAsia="zh-CN"/>
        </w:rPr>
      </w:pPr>
    </w:p>
    <w:p w14:paraId="7B4AA2BF">
      <w:pPr>
        <w:numPr>
          <w:ilvl w:val="0"/>
          <w:numId w:val="0"/>
        </w:numPr>
        <w:spacing w:line="560" w:lineRule="exact"/>
        <w:ind w:firstLine="640" w:firstLineChars="200"/>
        <w:rPr>
          <w:rFonts w:hint="eastAsia" w:ascii="Times New Roman" w:hAnsi="Times New Roman" w:eastAsia="仿宋_GB2312" w:cs="Times New Roman"/>
          <w:b w:val="0"/>
          <w:bCs w:val="0"/>
          <w:sz w:val="32"/>
          <w:szCs w:val="32"/>
        </w:rPr>
      </w:pPr>
      <w:r>
        <w:rPr>
          <w:rFonts w:hint="eastAsia" w:ascii="Times New Roman" w:hAnsi="Times New Roman" w:eastAsia="仿宋_GB2312" w:cs="Times New Roman"/>
          <w:sz w:val="32"/>
          <w:szCs w:val="32"/>
        </w:rPr>
        <w:t>中国教育法治与全球教育治理研究专项</w:t>
      </w:r>
      <w:r>
        <w:rPr>
          <w:rFonts w:hint="eastAsia" w:ascii="Times New Roman" w:hAnsi="Times New Roman" w:eastAsia="仿宋_GB2312" w:cs="Times New Roman"/>
          <w:sz w:val="32"/>
          <w:szCs w:val="32"/>
          <w:lang w:val="en-US" w:eastAsia="zh-CN"/>
        </w:rPr>
        <w:t>包括</w:t>
      </w:r>
      <w:r>
        <w:rPr>
          <w:rFonts w:hint="eastAsia" w:ascii="Times New Roman" w:hAnsi="Times New Roman" w:eastAsia="仿宋_GB2312" w:cs="Times New Roman"/>
          <w:b w:val="0"/>
          <w:bCs w:val="0"/>
          <w:sz w:val="32"/>
          <w:szCs w:val="32"/>
        </w:rPr>
        <w:t>重点、一般</w:t>
      </w:r>
      <w:r>
        <w:rPr>
          <w:rFonts w:hint="eastAsia" w:ascii="Times New Roman" w:hAnsi="Times New Roman" w:eastAsia="仿宋_GB2312" w:cs="Times New Roman"/>
          <w:b w:val="0"/>
          <w:bCs w:val="0"/>
          <w:sz w:val="32"/>
          <w:szCs w:val="32"/>
          <w:lang w:eastAsia="zh-CN"/>
        </w:rPr>
        <w:t>和</w:t>
      </w:r>
      <w:r>
        <w:rPr>
          <w:rFonts w:hint="eastAsia" w:ascii="Times New Roman" w:hAnsi="Times New Roman" w:eastAsia="仿宋_GB2312" w:cs="Times New Roman"/>
          <w:b w:val="0"/>
          <w:bCs w:val="0"/>
          <w:sz w:val="32"/>
          <w:szCs w:val="32"/>
          <w:lang w:val="en-US" w:eastAsia="zh-CN"/>
        </w:rPr>
        <w:t>培育</w:t>
      </w:r>
      <w:r>
        <w:rPr>
          <w:rFonts w:hint="eastAsia" w:ascii="Times New Roman" w:hAnsi="Times New Roman" w:eastAsia="仿宋_GB2312" w:cs="Times New Roman"/>
          <w:b w:val="0"/>
          <w:bCs w:val="0"/>
          <w:sz w:val="32"/>
          <w:szCs w:val="32"/>
        </w:rPr>
        <w:t>项目。</w:t>
      </w:r>
    </w:p>
    <w:p w14:paraId="703421E6">
      <w:pPr>
        <w:numPr>
          <w:ilvl w:val="0"/>
          <w:numId w:val="0"/>
        </w:numPr>
        <w:spacing w:line="560" w:lineRule="exact"/>
        <w:ind w:firstLine="643" w:firstLineChars="200"/>
        <w:rPr>
          <w:rFonts w:hint="eastAsia"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val="en-US" w:eastAsia="zh-CN"/>
        </w:rPr>
        <w:t>一</w:t>
      </w:r>
      <w:r>
        <w:rPr>
          <w:rFonts w:hint="eastAsia" w:ascii="Times New Roman" w:hAnsi="Times New Roman" w:eastAsia="仿宋_GB2312" w:cs="Times New Roman"/>
          <w:b/>
          <w:bCs/>
          <w:sz w:val="32"/>
          <w:szCs w:val="32"/>
        </w:rPr>
        <w:t>、申报条件</w:t>
      </w:r>
    </w:p>
    <w:p w14:paraId="27CE0EF4">
      <w:pPr>
        <w:numPr>
          <w:ilvl w:val="0"/>
          <w:numId w:val="0"/>
        </w:numPr>
        <w:spacing w:line="560" w:lineRule="exact"/>
        <w:ind w:firstLine="643" w:firstLineChars="200"/>
        <w:rPr>
          <w:rFonts w:hint="eastAsia"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（一）项目申请人须具备下列条件</w:t>
      </w:r>
    </w:p>
    <w:p w14:paraId="0297A571">
      <w:pPr>
        <w:numPr>
          <w:ilvl w:val="0"/>
          <w:numId w:val="0"/>
        </w:numPr>
        <w:spacing w:line="560" w:lineRule="exact"/>
        <w:ind w:firstLine="640" w:firstLineChars="200"/>
        <w:rPr>
          <w:rFonts w:hint="eastAsia" w:ascii="Times New Roman" w:hAnsi="Times New Roman" w:eastAsia="仿宋_GB2312" w:cs="Times New Roman"/>
          <w:b w:val="0"/>
          <w:bCs w:val="0"/>
          <w:sz w:val="32"/>
          <w:szCs w:val="32"/>
        </w:rPr>
      </w:pPr>
      <w:r>
        <w:rPr>
          <w:rFonts w:hint="eastAsia" w:ascii="Times New Roman" w:hAnsi="Times New Roman" w:eastAsia="仿宋_GB2312" w:cs="Times New Roman"/>
          <w:b w:val="0"/>
          <w:bCs w:val="0"/>
          <w:sz w:val="32"/>
          <w:szCs w:val="32"/>
        </w:rPr>
        <w:t>1.申请人须遵守中华人民共和国宪法和法律，坚持正确的政治方向、价值取向和研究导向，遵守全国教育科学规划有关管理规定。</w:t>
      </w:r>
    </w:p>
    <w:p w14:paraId="68B99FC3">
      <w:pPr>
        <w:numPr>
          <w:ilvl w:val="0"/>
          <w:numId w:val="0"/>
        </w:numPr>
        <w:spacing w:line="560" w:lineRule="exact"/>
        <w:ind w:firstLine="640" w:firstLineChars="200"/>
        <w:rPr>
          <w:rFonts w:hint="eastAsia" w:ascii="Times New Roman" w:hAnsi="Times New Roman" w:eastAsia="仿宋_GB2312" w:cs="Times New Roman"/>
          <w:b w:val="0"/>
          <w:bCs w:val="0"/>
          <w:sz w:val="32"/>
          <w:szCs w:val="32"/>
        </w:rPr>
      </w:pPr>
      <w:r>
        <w:rPr>
          <w:rFonts w:hint="eastAsia" w:ascii="Times New Roman" w:hAnsi="Times New Roman" w:eastAsia="仿宋_GB2312" w:cs="Times New Roman"/>
          <w:b w:val="0"/>
          <w:bCs w:val="0"/>
          <w:sz w:val="32"/>
          <w:szCs w:val="32"/>
        </w:rPr>
        <w:t>2.专项主要面向高等院校、部委直属单位、省级以上研究机构、党校（行政学院）等机构的研究人员申报。</w:t>
      </w:r>
    </w:p>
    <w:p w14:paraId="69E47B74">
      <w:pPr>
        <w:numPr>
          <w:ilvl w:val="0"/>
          <w:numId w:val="0"/>
        </w:numPr>
        <w:spacing w:line="560" w:lineRule="exact"/>
        <w:ind w:firstLine="640" w:firstLineChars="200"/>
        <w:rPr>
          <w:rFonts w:hint="eastAsia" w:ascii="Times New Roman" w:hAnsi="Times New Roman" w:eastAsia="仿宋_GB2312" w:cs="Times New Roman"/>
          <w:b w:val="0"/>
          <w:bCs w:val="0"/>
          <w:sz w:val="32"/>
          <w:szCs w:val="32"/>
        </w:rPr>
      </w:pPr>
      <w:r>
        <w:rPr>
          <w:rFonts w:hint="eastAsia" w:ascii="Times New Roman" w:hAnsi="Times New Roman" w:eastAsia="仿宋_GB2312" w:cs="Times New Roman"/>
          <w:b w:val="0"/>
          <w:bCs w:val="0"/>
          <w:sz w:val="32"/>
          <w:szCs w:val="32"/>
        </w:rPr>
        <w:t>3.申请重点项目须具有副高级以上（含）专业技术职称，或者担任副司（局）级以上（含）领导职务。申请一般项目，须具有上述资格，或具有博士学位，或具有10年以上专业领域实践经验及硕士学位。申请培育项目，须具有上述资格，或具有5年以上专业领域实践经验及硕士学位。</w:t>
      </w:r>
    </w:p>
    <w:p w14:paraId="1EBEFE59">
      <w:pPr>
        <w:numPr>
          <w:ilvl w:val="0"/>
          <w:numId w:val="0"/>
        </w:numPr>
        <w:spacing w:line="560" w:lineRule="exact"/>
        <w:ind w:firstLine="640" w:firstLineChars="200"/>
        <w:rPr>
          <w:rFonts w:hint="eastAsia" w:ascii="Times New Roman" w:hAnsi="Times New Roman" w:eastAsia="仿宋_GB2312" w:cs="Times New Roman"/>
          <w:b w:val="0"/>
          <w:bCs w:val="0"/>
          <w:sz w:val="32"/>
          <w:szCs w:val="32"/>
        </w:rPr>
      </w:pPr>
      <w:r>
        <w:rPr>
          <w:rFonts w:hint="eastAsia" w:ascii="Times New Roman" w:hAnsi="Times New Roman" w:eastAsia="仿宋_GB2312" w:cs="Times New Roman"/>
          <w:b w:val="0"/>
          <w:bCs w:val="0"/>
          <w:sz w:val="32"/>
          <w:szCs w:val="32"/>
        </w:rPr>
        <w:t>4.在研的国家社会科学基金、国家自然科学基金、全国教育科学规划、教育部人文社会科学研究项目及其他国家级科研项目（以上统称国家和教育部级基金项目）负责人不得申请专项。同年度申请上述国家和教育部级基金项目的负责人不得申请专项。同年度申请全国教育科学规划项目的成员不得申请专项。</w:t>
      </w:r>
    </w:p>
    <w:p w14:paraId="5F1B7223">
      <w:pPr>
        <w:numPr>
          <w:ilvl w:val="0"/>
          <w:numId w:val="0"/>
        </w:numPr>
        <w:spacing w:line="560" w:lineRule="exact"/>
        <w:ind w:firstLine="640" w:firstLineChars="200"/>
        <w:rPr>
          <w:rFonts w:hint="eastAsia" w:ascii="Times New Roman" w:hAnsi="Times New Roman" w:eastAsia="仿宋_GB2312" w:cs="Times New Roman"/>
          <w:b w:val="0"/>
          <w:bCs w:val="0"/>
          <w:sz w:val="32"/>
          <w:szCs w:val="32"/>
        </w:rPr>
      </w:pPr>
      <w:r>
        <w:rPr>
          <w:rFonts w:hint="eastAsia" w:ascii="Times New Roman" w:hAnsi="Times New Roman" w:eastAsia="仿宋_GB2312" w:cs="Times New Roman"/>
          <w:b w:val="0"/>
          <w:bCs w:val="0"/>
          <w:sz w:val="32"/>
          <w:szCs w:val="32"/>
        </w:rPr>
        <w:t>5.凡以博士学位论文或博士后出站报告为基础申报法治专项，须在《全国教育科学规划项目申请书》（以下简称《申请书》）中，注明所申请项目与学位论文（出站报告）的联系和区别。申请鉴定结项时须提交学位论文（出站报告）原件。不得以已出版的内容基本相同的研究成果申请专项。</w:t>
      </w:r>
    </w:p>
    <w:p w14:paraId="021A2A0E">
      <w:pPr>
        <w:numPr>
          <w:ilvl w:val="0"/>
          <w:numId w:val="0"/>
        </w:numPr>
        <w:spacing w:line="560" w:lineRule="exact"/>
        <w:ind w:firstLine="643" w:firstLineChars="200"/>
        <w:rPr>
          <w:rFonts w:hint="eastAsia"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（二）项目申请人所在单位须具备下列条件</w:t>
      </w:r>
    </w:p>
    <w:p w14:paraId="2CB69EAD">
      <w:pPr>
        <w:numPr>
          <w:ilvl w:val="0"/>
          <w:numId w:val="0"/>
        </w:numPr>
        <w:spacing w:line="560" w:lineRule="exact"/>
        <w:ind w:firstLine="640" w:firstLineChars="200"/>
        <w:rPr>
          <w:rFonts w:hint="eastAsia" w:ascii="Times New Roman" w:hAnsi="Times New Roman" w:eastAsia="仿宋_GB2312" w:cs="Times New Roman"/>
          <w:b w:val="0"/>
          <w:bCs w:val="0"/>
          <w:sz w:val="32"/>
          <w:szCs w:val="32"/>
        </w:rPr>
      </w:pPr>
      <w:r>
        <w:rPr>
          <w:rFonts w:hint="eastAsia" w:ascii="Times New Roman" w:hAnsi="Times New Roman" w:eastAsia="仿宋_GB2312" w:cs="Times New Roman"/>
          <w:b w:val="0"/>
          <w:bCs w:val="0"/>
          <w:sz w:val="32"/>
          <w:szCs w:val="32"/>
        </w:rPr>
        <w:t>1.在相关领域具有较强的师资队伍、研究力量，扎实的学术积累，或丰富的实践经验。</w:t>
      </w:r>
    </w:p>
    <w:p w14:paraId="244ECAB2">
      <w:pPr>
        <w:numPr>
          <w:ilvl w:val="0"/>
          <w:numId w:val="0"/>
        </w:numPr>
        <w:spacing w:line="560" w:lineRule="exact"/>
        <w:ind w:firstLine="640" w:firstLineChars="200"/>
        <w:rPr>
          <w:rFonts w:hint="eastAsia" w:ascii="Times New Roman" w:hAnsi="Times New Roman" w:eastAsia="仿宋_GB2312" w:cs="Times New Roman"/>
          <w:b w:val="0"/>
          <w:bCs w:val="0"/>
          <w:sz w:val="32"/>
          <w:szCs w:val="32"/>
        </w:rPr>
      </w:pPr>
      <w:r>
        <w:rPr>
          <w:rFonts w:hint="eastAsia" w:ascii="Times New Roman" w:hAnsi="Times New Roman" w:eastAsia="仿宋_GB2312" w:cs="Times New Roman"/>
          <w:b w:val="0"/>
          <w:bCs w:val="0"/>
          <w:sz w:val="32"/>
          <w:szCs w:val="32"/>
        </w:rPr>
        <w:t>2.设有负责科研管理工作的职能部门。</w:t>
      </w:r>
    </w:p>
    <w:p w14:paraId="7CABCB05">
      <w:pPr>
        <w:numPr>
          <w:ilvl w:val="0"/>
          <w:numId w:val="0"/>
        </w:numPr>
        <w:spacing w:line="560" w:lineRule="exact"/>
        <w:ind w:firstLine="640" w:firstLineChars="200"/>
        <w:rPr>
          <w:rFonts w:hint="eastAsia" w:ascii="Times New Roman" w:hAnsi="Times New Roman" w:eastAsia="仿宋_GB2312" w:cs="Times New Roman"/>
          <w:b w:val="0"/>
          <w:bCs w:val="0"/>
          <w:sz w:val="32"/>
          <w:szCs w:val="32"/>
        </w:rPr>
      </w:pPr>
      <w:r>
        <w:rPr>
          <w:rFonts w:hint="eastAsia" w:ascii="Times New Roman" w:hAnsi="Times New Roman" w:eastAsia="仿宋_GB2312" w:cs="Times New Roman"/>
          <w:b w:val="0"/>
          <w:bCs w:val="0"/>
          <w:sz w:val="32"/>
          <w:szCs w:val="32"/>
        </w:rPr>
        <w:t>3.能够为开展研究工作提供必要条件,并承诺信誉保证。</w:t>
      </w:r>
    </w:p>
    <w:p w14:paraId="2170BF97">
      <w:pPr>
        <w:numPr>
          <w:ilvl w:val="0"/>
          <w:numId w:val="0"/>
        </w:numPr>
        <w:spacing w:line="560" w:lineRule="exact"/>
        <w:ind w:firstLine="643" w:firstLineChars="200"/>
        <w:rPr>
          <w:rFonts w:hint="eastAsia"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val="en-US" w:eastAsia="zh-CN"/>
        </w:rPr>
        <w:t>二</w:t>
      </w:r>
      <w:r>
        <w:rPr>
          <w:rFonts w:hint="eastAsia" w:ascii="Times New Roman" w:hAnsi="Times New Roman" w:eastAsia="仿宋_GB2312" w:cs="Times New Roman"/>
          <w:b/>
          <w:bCs/>
          <w:sz w:val="32"/>
          <w:szCs w:val="32"/>
        </w:rPr>
        <w:t>、申报要求</w:t>
      </w:r>
    </w:p>
    <w:p w14:paraId="77522D4F">
      <w:pPr>
        <w:numPr>
          <w:ilvl w:val="0"/>
          <w:numId w:val="0"/>
        </w:numPr>
        <w:spacing w:line="560" w:lineRule="exact"/>
        <w:ind w:firstLine="640" w:firstLineChars="200"/>
        <w:rPr>
          <w:rFonts w:hint="eastAsia" w:ascii="Times New Roman" w:hAnsi="Times New Roman" w:eastAsia="仿宋_GB2312" w:cs="Times New Roman"/>
          <w:b w:val="0"/>
          <w:bCs w:val="0"/>
          <w:sz w:val="32"/>
          <w:szCs w:val="32"/>
        </w:rPr>
      </w:pPr>
      <w:r>
        <w:rPr>
          <w:rFonts w:hint="eastAsia" w:ascii="Times New Roman" w:hAnsi="Times New Roman" w:eastAsia="仿宋_GB2312" w:cs="Times New Roman"/>
          <w:b w:val="0"/>
          <w:bCs w:val="0"/>
          <w:sz w:val="32"/>
          <w:szCs w:val="32"/>
        </w:rPr>
        <w:t>1.专项申报不限额。各二级管理机构和申请单位要着力提高申报质量，宁缺毋滥。</w:t>
      </w:r>
    </w:p>
    <w:p w14:paraId="09B42F72">
      <w:pPr>
        <w:numPr>
          <w:ilvl w:val="0"/>
          <w:numId w:val="0"/>
        </w:numPr>
        <w:spacing w:line="560" w:lineRule="exact"/>
        <w:ind w:firstLine="640" w:firstLineChars="200"/>
        <w:rPr>
          <w:rFonts w:hint="eastAsia" w:ascii="Times New Roman" w:hAnsi="Times New Roman" w:eastAsia="仿宋_GB2312" w:cs="Times New Roman"/>
          <w:b w:val="0"/>
          <w:bCs w:val="0"/>
          <w:sz w:val="32"/>
          <w:szCs w:val="32"/>
        </w:rPr>
      </w:pPr>
      <w:r>
        <w:rPr>
          <w:rFonts w:hint="eastAsia" w:ascii="Times New Roman" w:hAnsi="Times New Roman" w:eastAsia="仿宋_GB2312" w:cs="Times New Roman"/>
          <w:b w:val="0"/>
          <w:bCs w:val="0"/>
          <w:sz w:val="32"/>
          <w:szCs w:val="32"/>
        </w:rPr>
        <w:t>2.专项研究年限为2-3年，不得延期。应用研究和综合研究的成果要求提交决策咨询报告，基础理论研究成果要求发表核心期刊论文。培育项目，如果是应用研究或综合研究，要求至少1篇决策咨询报告被《全国教育科学规划课题成果要报》刊发、或被专项合作单位及以上领导肯定性批示、或被专项合作单位及以上党政机关的内刊刊发。如果是基础理论研究，要求至少发表1篇核心期刊（或SCI、SSCI、CSSCI、A&amp;HCI）论文。一般、重点项目的成果要求须高于培育项目，成果形式、数量和级别与资助金额和研究年限相匹配。</w:t>
      </w:r>
    </w:p>
    <w:p w14:paraId="59C68544">
      <w:pPr>
        <w:numPr>
          <w:ilvl w:val="0"/>
          <w:numId w:val="0"/>
        </w:numPr>
        <w:spacing w:line="560" w:lineRule="exact"/>
        <w:ind w:firstLine="640" w:firstLineChars="200"/>
        <w:rPr>
          <w:rFonts w:hint="eastAsia" w:ascii="Times New Roman" w:hAnsi="Times New Roman" w:eastAsia="仿宋_GB2312" w:cs="Times New Roman"/>
          <w:b w:val="0"/>
          <w:bCs w:val="0"/>
          <w:sz w:val="32"/>
          <w:szCs w:val="32"/>
        </w:rPr>
      </w:pPr>
      <w:r>
        <w:rPr>
          <w:rFonts w:hint="eastAsia" w:ascii="Times New Roman" w:hAnsi="Times New Roman" w:eastAsia="仿宋_GB2312" w:cs="Times New Roman"/>
          <w:b w:val="0"/>
          <w:bCs w:val="0"/>
          <w:sz w:val="32"/>
          <w:szCs w:val="32"/>
        </w:rPr>
        <w:t>3.申请人应按照《全国教育科学规划管理办法》和《全国教育科学规划课题资金管理办法》（详见我办网站https://onsgep.moe.edu.cn/）的要求，根据实际需要编制科学合理的经费预算。</w:t>
      </w:r>
    </w:p>
    <w:p w14:paraId="48C4D8A8">
      <w:pPr>
        <w:numPr>
          <w:ilvl w:val="0"/>
          <w:numId w:val="0"/>
        </w:numPr>
        <w:spacing w:line="560" w:lineRule="exact"/>
        <w:ind w:firstLine="640" w:firstLineChars="200"/>
        <w:rPr>
          <w:rFonts w:hint="eastAsia" w:ascii="Times New Roman" w:hAnsi="Times New Roman" w:eastAsia="仿宋_GB2312" w:cs="Times New Roman"/>
          <w:b w:val="0"/>
          <w:bCs w:val="0"/>
          <w:sz w:val="32"/>
          <w:szCs w:val="32"/>
        </w:rPr>
      </w:pPr>
      <w:r>
        <w:rPr>
          <w:rFonts w:hint="eastAsia" w:ascii="Times New Roman" w:hAnsi="Times New Roman" w:eastAsia="仿宋_GB2312" w:cs="Times New Roman"/>
          <w:b w:val="0"/>
          <w:bCs w:val="0"/>
          <w:sz w:val="32"/>
          <w:szCs w:val="32"/>
        </w:rPr>
        <w:t>4.申请人应严格按照《申请书》和《活页》要求，如实填写材料，确保不存在知识产权争议和科研失信行为。对存在弄虚作假、抄袭剽窃等科研不端行为的，一经查实，5年内不得申报全国教育科学规划项目；已获立项的，立即撤项并通报批评，纳入科研信用不良记录，并责成所在单位依规追责。</w:t>
      </w:r>
    </w:p>
    <w:p w14:paraId="4C1DF07C">
      <w:pPr>
        <w:numPr>
          <w:ilvl w:val="0"/>
          <w:numId w:val="0"/>
        </w:numPr>
        <w:spacing w:line="560" w:lineRule="exact"/>
        <w:ind w:firstLine="640" w:firstLineChars="200"/>
        <w:rPr>
          <w:rFonts w:hint="eastAsia" w:ascii="Times New Roman" w:hAnsi="Times New Roman" w:eastAsia="仿宋_GB2312" w:cs="Times New Roman"/>
          <w:b w:val="0"/>
          <w:bCs w:val="0"/>
          <w:sz w:val="32"/>
          <w:szCs w:val="32"/>
        </w:rPr>
      </w:pPr>
      <w:r>
        <w:rPr>
          <w:rFonts w:hint="eastAsia" w:ascii="Times New Roman" w:hAnsi="Times New Roman" w:eastAsia="仿宋_GB2312" w:cs="Times New Roman"/>
          <w:b w:val="0"/>
          <w:bCs w:val="0"/>
          <w:sz w:val="32"/>
          <w:szCs w:val="32"/>
        </w:rPr>
        <w:t>5.获准立项的《申请书》视为具有约束力的资助合同文本。项目负责人应遵守相关承诺，履行约定义务，按期完成研究任务；申报时承诺的预期研究成果为结项时必须达到的要件，不得擅自变更。</w:t>
      </w:r>
    </w:p>
    <w:p w14:paraId="03C79E0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Times New Roman" w:hAnsi="Times New Roman" w:eastAsia="仿宋_GB2312" w:cs="Times New Roman"/>
          <w:b w:val="0"/>
          <w:bCs w:val="0"/>
          <w:sz w:val="32"/>
          <w:szCs w:val="32"/>
        </w:rPr>
      </w:pPr>
      <w:r>
        <w:rPr>
          <w:rFonts w:hint="eastAsia" w:ascii="仿宋_GB2312" w:hAnsi="Times New Roman" w:eastAsia="仿宋_GB2312" w:cs="Times New Roman"/>
          <w:b/>
          <w:bCs/>
          <w:color w:val="auto"/>
          <w:kern w:val="2"/>
          <w:sz w:val="32"/>
          <w:szCs w:val="32"/>
          <w:lang w:val="en-US" w:eastAsia="zh-CN" w:bidi="ar-SA"/>
        </w:rPr>
        <w:t>三、</w:t>
      </w:r>
      <w:r>
        <w:rPr>
          <w:rFonts w:hint="default" w:ascii="Times New Roman" w:hAnsi="Times New Roman" w:eastAsia="仿宋_GB2312" w:cs="Times New Roman"/>
          <w:b/>
          <w:bCs/>
          <w:sz w:val="32"/>
          <w:szCs w:val="32"/>
          <w:lang w:val="en-US" w:eastAsia="zh-CN"/>
        </w:rPr>
        <w:t>选题</w:t>
      </w:r>
      <w:r>
        <w:rPr>
          <w:rFonts w:hint="eastAsia" w:ascii="Times New Roman" w:hAnsi="Times New Roman" w:eastAsia="仿宋_GB2312" w:cs="Times New Roman"/>
          <w:b/>
          <w:bCs/>
          <w:sz w:val="32"/>
          <w:szCs w:val="32"/>
          <w:lang w:val="en-US" w:eastAsia="zh-CN"/>
        </w:rPr>
        <w:t>指南</w:t>
      </w:r>
    </w:p>
    <w:p w14:paraId="360533E8">
      <w:pPr>
        <w:numPr>
          <w:ilvl w:val="0"/>
          <w:numId w:val="0"/>
        </w:numPr>
        <w:spacing w:line="560" w:lineRule="exact"/>
        <w:ind w:firstLine="640" w:firstLineChars="200"/>
        <w:rPr>
          <w:rFonts w:hint="eastAsia" w:ascii="Times New Roman" w:hAnsi="Times New Roman" w:eastAsia="楷体_GB2312" w:cs="Times New Roman"/>
          <w:b/>
          <w:bCs/>
          <w:sz w:val="32"/>
          <w:szCs w:val="32"/>
          <w:highlight w:val="none"/>
          <w:lang w:val="en-US" w:eastAsia="zh-CN"/>
        </w:rPr>
      </w:pPr>
      <w:r>
        <w:rPr>
          <w:rFonts w:hint="eastAsia" w:ascii="Times New Roman" w:hAnsi="Times New Roman" w:eastAsia="仿宋_GB2312" w:cs="Times New Roman"/>
          <w:b w:val="0"/>
          <w:bCs w:val="0"/>
          <w:sz w:val="32"/>
          <w:szCs w:val="32"/>
        </w:rPr>
        <w:t>申报重点项目</w:t>
      </w:r>
      <w:r>
        <w:rPr>
          <w:rFonts w:hint="eastAsia" w:ascii="Times New Roman" w:hAnsi="Times New Roman" w:eastAsia="仿宋_GB2312" w:cs="Times New Roman"/>
          <w:b w:val="0"/>
          <w:bCs w:val="0"/>
          <w:sz w:val="32"/>
          <w:szCs w:val="32"/>
          <w:lang w:eastAsia="zh-CN"/>
        </w:rPr>
        <w:t>、</w:t>
      </w:r>
      <w:r>
        <w:rPr>
          <w:rFonts w:hint="eastAsia" w:ascii="Times New Roman" w:hAnsi="Times New Roman" w:eastAsia="仿宋_GB2312" w:cs="Times New Roman"/>
          <w:b w:val="0"/>
          <w:bCs w:val="0"/>
          <w:sz w:val="32"/>
          <w:szCs w:val="32"/>
          <w:lang w:val="en-US" w:eastAsia="zh-CN"/>
        </w:rPr>
        <w:t>一般项目</w:t>
      </w:r>
      <w:r>
        <w:rPr>
          <w:rFonts w:hint="eastAsia" w:ascii="Times New Roman" w:hAnsi="Times New Roman" w:eastAsia="仿宋_GB2312" w:cs="Times New Roman"/>
          <w:b w:val="0"/>
          <w:bCs w:val="0"/>
          <w:sz w:val="32"/>
          <w:szCs w:val="32"/>
        </w:rPr>
        <w:t>必须从相应条目中选择，</w:t>
      </w:r>
      <w:r>
        <w:rPr>
          <w:rFonts w:hint="eastAsia" w:ascii="Times New Roman" w:hAnsi="Times New Roman" w:eastAsia="仿宋_GB2312" w:cs="Times New Roman"/>
          <w:b w:val="0"/>
          <w:bCs w:val="0"/>
          <w:sz w:val="32"/>
          <w:szCs w:val="32"/>
          <w:lang w:eastAsia="zh-CN"/>
        </w:rPr>
        <w:t>并</w:t>
      </w:r>
      <w:r>
        <w:rPr>
          <w:rFonts w:hint="default" w:ascii="Times New Roman" w:hAnsi="Times New Roman" w:eastAsia="仿宋_GB2312" w:cs="Times New Roman"/>
          <w:b w:val="0"/>
          <w:bCs w:val="0"/>
          <w:sz w:val="32"/>
          <w:szCs w:val="32"/>
          <w:lang w:val="en-US" w:eastAsia="zh"/>
        </w:rPr>
        <w:t>按照指南意图</w:t>
      </w:r>
      <w:r>
        <w:rPr>
          <w:rFonts w:hint="eastAsia" w:ascii="Times New Roman" w:hAnsi="Times New Roman" w:eastAsia="仿宋_GB2312" w:cs="Times New Roman"/>
          <w:b w:val="0"/>
          <w:bCs w:val="0"/>
          <w:sz w:val="32"/>
          <w:szCs w:val="32"/>
          <w:lang w:val="en-US" w:eastAsia="zh-CN"/>
        </w:rPr>
        <w:t>进行研究设计</w:t>
      </w:r>
      <w:r>
        <w:rPr>
          <w:rFonts w:hint="default" w:ascii="Times New Roman" w:hAnsi="Times New Roman" w:eastAsia="仿宋_GB2312" w:cs="Times New Roman"/>
          <w:b w:val="0"/>
          <w:bCs w:val="0"/>
          <w:sz w:val="32"/>
          <w:szCs w:val="32"/>
          <w:lang w:val="en-US" w:eastAsia="zh"/>
        </w:rPr>
        <w:t>。</w:t>
      </w:r>
      <w:r>
        <w:rPr>
          <w:rFonts w:hint="eastAsia" w:ascii="Times New Roman" w:hAnsi="Times New Roman" w:eastAsia="仿宋_GB2312" w:cs="Times New Roman"/>
          <w:b w:val="0"/>
          <w:bCs w:val="0"/>
          <w:sz w:val="32"/>
          <w:szCs w:val="32"/>
        </w:rPr>
        <w:t>自拟选题不予受理。</w:t>
      </w:r>
      <w:r>
        <w:rPr>
          <w:rFonts w:hint="eastAsia" w:ascii="Times New Roman" w:hAnsi="Times New Roman" w:eastAsia="仿宋_GB2312" w:cs="Times New Roman"/>
          <w:b w:val="0"/>
          <w:bCs w:val="0"/>
          <w:sz w:val="32"/>
          <w:szCs w:val="32"/>
          <w:lang w:val="en-US" w:eastAsia="zh-CN"/>
        </w:rPr>
        <w:t>培育项目</w:t>
      </w:r>
      <w:r>
        <w:rPr>
          <w:rFonts w:hint="eastAsia" w:ascii="Times New Roman" w:hAnsi="Times New Roman" w:eastAsia="仿宋_GB2312" w:cs="Times New Roman"/>
          <w:b w:val="0"/>
          <w:bCs w:val="0"/>
          <w:sz w:val="32"/>
          <w:szCs w:val="32"/>
        </w:rPr>
        <w:t>如确有需要，可对选题进行适当微调，但不得大幅压缩或改变研究内容。</w:t>
      </w:r>
      <w:r>
        <w:rPr>
          <w:rFonts w:hint="eastAsia" w:ascii="仿宋_GB2312" w:hAnsi="Times New Roman" w:eastAsia="仿宋_GB2312" w:cs="Times New Roman"/>
          <w:color w:val="auto"/>
          <w:kern w:val="2"/>
          <w:sz w:val="32"/>
          <w:szCs w:val="32"/>
          <w:lang w:val="en-US" w:eastAsia="zh-CN" w:bidi="ar-SA"/>
        </w:rPr>
        <w:t>研究期限为2-3年，不得延期。</w:t>
      </w:r>
      <w:r>
        <w:rPr>
          <w:rFonts w:hint="eastAsia" w:ascii="Times New Roman" w:hAnsi="Times New Roman" w:eastAsia="仿宋_GB2312" w:cs="Times New Roman"/>
          <w:b w:val="0"/>
          <w:bCs w:val="0"/>
          <w:sz w:val="32"/>
          <w:szCs w:val="32"/>
        </w:rPr>
        <w:t>每个选题原则上只确立1个立项项目。</w:t>
      </w:r>
    </w:p>
    <w:p w14:paraId="4A5171BA">
      <w:pPr>
        <w:keepNext w:val="0"/>
        <w:keepLines w:val="0"/>
        <w:pageBreakBefore w:val="0"/>
        <w:widowControl w:val="0"/>
        <w:kinsoku/>
        <w:wordWrap/>
        <w:overflowPunct/>
        <w:topLinePunct w:val="0"/>
        <w:autoSpaceDE/>
        <w:autoSpaceDN/>
        <w:bidi w:val="0"/>
        <w:adjustRightInd/>
        <w:snapToGrid/>
        <w:spacing w:before="157" w:beforeLines="50" w:after="157" w:afterLines="50"/>
        <w:ind w:firstLine="641"/>
        <w:textAlignment w:val="auto"/>
        <w:rPr>
          <w:rFonts w:hint="eastAsia" w:ascii="Times New Roman" w:hAnsi="Times New Roman" w:eastAsia="楷体_GB2312" w:cs="Times New Roman"/>
          <w:b/>
          <w:bCs/>
          <w:sz w:val="32"/>
          <w:szCs w:val="32"/>
          <w:highlight w:val="none"/>
          <w:lang w:val="en-US" w:eastAsia="zh-CN"/>
        </w:rPr>
      </w:pPr>
      <w:r>
        <w:rPr>
          <w:rFonts w:hint="eastAsia" w:ascii="Times New Roman" w:hAnsi="Times New Roman" w:eastAsia="楷体_GB2312" w:cs="Times New Roman"/>
          <w:b/>
          <w:bCs/>
          <w:sz w:val="32"/>
          <w:szCs w:val="32"/>
          <w:highlight w:val="none"/>
          <w:lang w:val="en-US" w:eastAsia="zh-CN"/>
        </w:rPr>
        <w:t xml:space="preserve">1. </w:t>
      </w:r>
      <w:r>
        <w:rPr>
          <w:rFonts w:hint="eastAsia" w:ascii="Times New Roman" w:hAnsi="Times New Roman" w:eastAsia="楷体_GB2312" w:cs="Times New Roman"/>
          <w:b/>
          <w:bCs/>
          <w:sz w:val="32"/>
          <w:szCs w:val="32"/>
          <w:highlight w:val="none"/>
        </w:rPr>
        <w:t>构建中国教育法学自主知识体系研究</w:t>
      </w:r>
      <w:r>
        <w:rPr>
          <w:rFonts w:hint="eastAsia" w:ascii="Times New Roman" w:hAnsi="Times New Roman" w:eastAsia="楷体_GB2312" w:cs="Times New Roman"/>
          <w:b/>
          <w:bCs/>
          <w:sz w:val="32"/>
          <w:szCs w:val="32"/>
          <w:highlight w:val="none"/>
          <w:lang w:val="en-US" w:eastAsia="zh-CN"/>
        </w:rPr>
        <w:t>（重点）</w:t>
      </w:r>
    </w:p>
    <w:p w14:paraId="30541BCB">
      <w:pPr>
        <w:numPr>
          <w:ilvl w:val="0"/>
          <w:numId w:val="0"/>
        </w:numPr>
        <w:spacing w:line="560" w:lineRule="exact"/>
        <w:ind w:firstLine="643"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指南意图</w:t>
      </w:r>
      <w:r>
        <w:rPr>
          <w:rFonts w:hint="eastAsia" w:ascii="仿宋_GB2312" w:hAnsi="仿宋_GB2312" w:eastAsia="仿宋_GB2312" w:cs="仿宋_GB2312"/>
          <w:b w:val="0"/>
          <w:bCs w:val="0"/>
          <w:sz w:val="32"/>
          <w:szCs w:val="32"/>
          <w:lang w:val="en-US" w:eastAsia="zh-CN"/>
        </w:rPr>
        <w:t>：（1）梳理习近平总书记关于教育的重要论述并进行法理阐释和法律表达；（2）研究中国教育法学知识体系的价值取向、核心范畴、基本原则、理论特色；（3）探索中国教育法学自主知识体系构建的方法和路径；（4）形成中国教育法学基本框架与核心内容。</w:t>
      </w:r>
    </w:p>
    <w:p w14:paraId="72A3F367">
      <w:pPr>
        <w:keepNext w:val="0"/>
        <w:keepLines w:val="0"/>
        <w:pageBreakBefore w:val="0"/>
        <w:widowControl w:val="0"/>
        <w:kinsoku/>
        <w:wordWrap/>
        <w:overflowPunct/>
        <w:topLinePunct w:val="0"/>
        <w:autoSpaceDE/>
        <w:autoSpaceDN/>
        <w:bidi w:val="0"/>
        <w:adjustRightInd/>
        <w:snapToGrid/>
        <w:spacing w:before="157" w:beforeLines="50" w:after="157" w:afterLines="50"/>
        <w:ind w:firstLine="641"/>
        <w:textAlignment w:val="auto"/>
        <w:rPr>
          <w:rFonts w:hint="eastAsia" w:ascii="Times New Roman" w:hAnsi="Times New Roman" w:eastAsia="楷体_GB2312" w:cs="Times New Roman"/>
          <w:b/>
          <w:bCs/>
          <w:sz w:val="32"/>
          <w:szCs w:val="32"/>
          <w:highlight w:val="none"/>
          <w:lang w:val="en-US" w:eastAsia="zh-CN"/>
        </w:rPr>
      </w:pPr>
      <w:r>
        <w:rPr>
          <w:rFonts w:hint="eastAsia" w:ascii="Times New Roman" w:hAnsi="Times New Roman" w:eastAsia="楷体_GB2312" w:cs="Times New Roman"/>
          <w:b/>
          <w:bCs/>
          <w:sz w:val="32"/>
          <w:szCs w:val="32"/>
          <w:highlight w:val="none"/>
          <w:lang w:val="en-US" w:eastAsia="zh-CN"/>
        </w:rPr>
        <w:t>2. 国（境）外学位质量评价及认证制度研究（重点）</w:t>
      </w:r>
    </w:p>
    <w:p w14:paraId="3A170F12">
      <w:pPr>
        <w:keepNext w:val="0"/>
        <w:keepLines w:val="0"/>
        <w:pageBreakBefore w:val="0"/>
        <w:widowControl/>
        <w:numPr>
          <w:ilvl w:val="-1"/>
          <w:numId w:val="0"/>
        </w:numPr>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bCs/>
          <w:color w:val="auto"/>
          <w:kern w:val="2"/>
          <w:sz w:val="32"/>
          <w:szCs w:val="32"/>
          <w:u w:val="none"/>
          <w:lang w:val="en-US" w:eastAsia="zh-CN" w:bidi="ar-SA"/>
        </w:rPr>
      </w:pPr>
      <w:r>
        <w:rPr>
          <w:rFonts w:hint="eastAsia" w:ascii="楷体_GB2312" w:hAnsi="楷体_GB2312" w:eastAsia="楷体_GB2312" w:cs="楷体_GB2312"/>
          <w:b/>
          <w:bCs/>
          <w:kern w:val="2"/>
          <w:sz w:val="32"/>
          <w:szCs w:val="32"/>
          <w:lang w:val="en-US" w:eastAsia="zh-CN" w:bidi="ar-SA"/>
        </w:rPr>
        <w:t>指南意图：</w:t>
      </w:r>
      <w:r>
        <w:rPr>
          <w:rFonts w:hint="eastAsia" w:ascii="仿宋_GB2312" w:hAnsi="楷体" w:eastAsia="仿宋_GB2312" w:cs="Times New Roman"/>
          <w:kern w:val="2"/>
          <w:sz w:val="32"/>
          <w:szCs w:val="32"/>
          <w:lang w:val="en-US" w:eastAsia="zh-CN" w:bidi="ar-SA"/>
        </w:rPr>
        <w:t>（1）调研国（境）外主要国家、地区高等教育机构资质评估、课程与教学质量评估以及学生学习成果评估体系的历史沿革与现状；（2）研究国（境）外文凭证书与同等学历学位对应规则、跨境在线教育的质量保证与文凭证书互认机制；（3）构建国（境）外学位质量评价体系，拓宽现行认证办法的外延和内涵；（4）完善我国学位认证制度和认证标准及与质量相关的评估考察标准和程序。</w:t>
      </w:r>
    </w:p>
    <w:p w14:paraId="67FFA9E9">
      <w:pPr>
        <w:keepNext w:val="0"/>
        <w:keepLines w:val="0"/>
        <w:pageBreakBefore w:val="0"/>
        <w:widowControl w:val="0"/>
        <w:kinsoku/>
        <w:wordWrap/>
        <w:overflowPunct/>
        <w:topLinePunct w:val="0"/>
        <w:autoSpaceDE/>
        <w:autoSpaceDN/>
        <w:bidi w:val="0"/>
        <w:adjustRightInd/>
        <w:snapToGrid/>
        <w:spacing w:before="157" w:beforeLines="50" w:after="157" w:afterLines="50"/>
        <w:ind w:firstLine="641"/>
        <w:textAlignment w:val="auto"/>
        <w:rPr>
          <w:rFonts w:hint="eastAsia" w:ascii="Times New Roman" w:hAnsi="Times New Roman" w:eastAsia="楷体_GB2312" w:cs="Times New Roman"/>
          <w:b/>
          <w:bCs/>
          <w:sz w:val="32"/>
          <w:szCs w:val="32"/>
          <w:highlight w:val="none"/>
          <w:lang w:val="en-US" w:eastAsia="zh-CN"/>
        </w:rPr>
      </w:pPr>
      <w:r>
        <w:rPr>
          <w:rFonts w:hint="eastAsia" w:ascii="Times New Roman" w:hAnsi="Times New Roman" w:eastAsia="楷体_GB2312" w:cs="Times New Roman"/>
          <w:b/>
          <w:bCs/>
          <w:sz w:val="32"/>
          <w:szCs w:val="32"/>
          <w:highlight w:val="none"/>
          <w:lang w:val="en-US" w:eastAsia="zh-CN"/>
        </w:rPr>
        <w:t>3. 考试招生管理法治化研究（一般）</w:t>
      </w:r>
    </w:p>
    <w:p w14:paraId="5DFA7EBF">
      <w:pPr>
        <w:numPr>
          <w:ilvl w:val="0"/>
          <w:numId w:val="0"/>
        </w:numPr>
        <w:spacing w:line="560" w:lineRule="exact"/>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指南意图：</w:t>
      </w:r>
      <w:r>
        <w:rPr>
          <w:rFonts w:hint="eastAsia" w:ascii="仿宋_GB2312" w:hAnsi="仿宋_GB2312" w:eastAsia="仿宋_GB2312" w:cs="仿宋_GB2312"/>
          <w:b w:val="0"/>
          <w:bCs w:val="0"/>
          <w:sz w:val="32"/>
          <w:szCs w:val="32"/>
          <w:lang w:val="en-US" w:eastAsia="zh-CN"/>
        </w:rPr>
        <w:t>（1）梳理考试招生政策的历史沿革并检视其现状与问题；（2）域外考试招生制度研究与借鉴；（3）论证《教育招生考试管理办法》《国家教育考试违规处理办法》制定、修订的必要性、可行性与法治功能；（4）阐明考试招生立法的指导思想、基本原则、技术方法、体例结构和内容构造；（5）构建考试招生制度的法律规范体系框架。</w:t>
      </w:r>
    </w:p>
    <w:p w14:paraId="3BB4B37D">
      <w:pPr>
        <w:keepNext w:val="0"/>
        <w:keepLines w:val="0"/>
        <w:pageBreakBefore w:val="0"/>
        <w:widowControl w:val="0"/>
        <w:kinsoku/>
        <w:wordWrap/>
        <w:overflowPunct/>
        <w:topLinePunct w:val="0"/>
        <w:autoSpaceDE/>
        <w:autoSpaceDN/>
        <w:bidi w:val="0"/>
        <w:adjustRightInd/>
        <w:snapToGrid/>
        <w:spacing w:before="157" w:beforeLines="50" w:after="157" w:afterLines="50"/>
        <w:ind w:firstLine="641"/>
        <w:textAlignment w:val="auto"/>
        <w:rPr>
          <w:rFonts w:hint="eastAsia" w:ascii="Times New Roman" w:hAnsi="Times New Roman" w:eastAsia="楷体_GB2312" w:cs="Times New Roman"/>
          <w:b/>
          <w:bCs/>
          <w:sz w:val="32"/>
          <w:szCs w:val="32"/>
          <w:highlight w:val="none"/>
          <w:lang w:val="en-US" w:eastAsia="zh-CN"/>
        </w:rPr>
      </w:pPr>
      <w:r>
        <w:rPr>
          <w:rFonts w:hint="eastAsia" w:ascii="Times New Roman" w:hAnsi="Times New Roman" w:eastAsia="楷体_GB2312" w:cs="Times New Roman"/>
          <w:b/>
          <w:bCs/>
          <w:sz w:val="32"/>
          <w:szCs w:val="32"/>
          <w:highlight w:val="none"/>
          <w:lang w:val="en-US" w:eastAsia="zh-CN"/>
        </w:rPr>
        <w:t>4. 中外合作办学法律制度和规范研究（一般）</w:t>
      </w:r>
    </w:p>
    <w:p w14:paraId="5A99FA90">
      <w:pPr>
        <w:numPr>
          <w:ilvl w:val="0"/>
          <w:numId w:val="0"/>
        </w:numPr>
        <w:spacing w:line="560" w:lineRule="exact"/>
        <w:ind w:firstLine="643" w:firstLineChars="200"/>
        <w:rPr>
          <w:rFonts w:hint="eastAsia" w:ascii="Times New Roman" w:hAnsi="Times New Roman" w:eastAsia="仿宋_GB2312" w:cs="仿宋_GB2312"/>
          <w:b w:val="0"/>
          <w:bCs w:val="0"/>
          <w:sz w:val="32"/>
          <w:szCs w:val="32"/>
          <w:u w:val="none"/>
        </w:rPr>
      </w:pPr>
      <w:r>
        <w:rPr>
          <w:rFonts w:hint="eastAsia" w:ascii="Times New Roman" w:hAnsi="Times New Roman" w:eastAsia="仿宋_GB2312" w:cs="仿宋_GB2312"/>
          <w:b/>
          <w:bCs/>
          <w:sz w:val="32"/>
          <w:szCs w:val="32"/>
          <w:u w:val="none"/>
        </w:rPr>
        <w:t>指南意图：</w:t>
      </w:r>
      <w:r>
        <w:rPr>
          <w:rFonts w:hint="eastAsia" w:ascii="Times New Roman" w:hAnsi="Times New Roman" w:eastAsia="仿宋_GB2312" w:cs="仿宋_GB2312"/>
          <w:b w:val="0"/>
          <w:bCs w:val="0"/>
          <w:sz w:val="32"/>
          <w:szCs w:val="32"/>
          <w:u w:val="none"/>
        </w:rPr>
        <w:t>（1）梳理中外合作办学制度沿革；（2）开展中外合作办学相关制度国际比较研究；（3）调研相关国家支持国外高校赴本国开展合作办学的法律与政策要求；（4）提出优化中外合作办学结构与布局、吸引更多境外高水平大学来华合作办学的措施建议；（5）提出完善中外合作办学法规规章的意见建议。</w:t>
      </w:r>
    </w:p>
    <w:p w14:paraId="23A7D915">
      <w:pPr>
        <w:keepNext w:val="0"/>
        <w:keepLines w:val="0"/>
        <w:pageBreakBefore w:val="0"/>
        <w:widowControl w:val="0"/>
        <w:kinsoku/>
        <w:wordWrap/>
        <w:overflowPunct/>
        <w:topLinePunct w:val="0"/>
        <w:autoSpaceDE/>
        <w:autoSpaceDN/>
        <w:bidi w:val="0"/>
        <w:adjustRightInd/>
        <w:snapToGrid/>
        <w:spacing w:before="157" w:beforeLines="50" w:after="157" w:afterLines="50"/>
        <w:ind w:firstLine="641"/>
        <w:textAlignment w:val="auto"/>
        <w:rPr>
          <w:rFonts w:hint="eastAsia" w:ascii="Times New Roman" w:hAnsi="Times New Roman" w:eastAsia="楷体_GB2312" w:cs="Times New Roman"/>
          <w:b/>
          <w:bCs/>
          <w:sz w:val="32"/>
          <w:szCs w:val="32"/>
          <w:highlight w:val="none"/>
          <w:lang w:val="en-US" w:eastAsia="zh-CN"/>
        </w:rPr>
      </w:pPr>
      <w:r>
        <w:rPr>
          <w:rFonts w:hint="eastAsia" w:ascii="Times New Roman" w:hAnsi="Times New Roman" w:eastAsia="楷体_GB2312" w:cs="Times New Roman"/>
          <w:b/>
          <w:bCs/>
          <w:sz w:val="32"/>
          <w:szCs w:val="32"/>
          <w:highlight w:val="none"/>
          <w:lang w:val="en-US" w:eastAsia="zh-CN"/>
        </w:rPr>
        <w:t>5. 教育法规范的体系化研究（一般）</w:t>
      </w:r>
    </w:p>
    <w:p w14:paraId="18B61611">
      <w:pPr>
        <w:numPr>
          <w:ilvl w:val="0"/>
          <w:numId w:val="0"/>
        </w:numPr>
        <w:spacing w:line="560" w:lineRule="exact"/>
        <w:ind w:firstLine="643"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指南意图：</w:t>
      </w:r>
      <w:r>
        <w:rPr>
          <w:rFonts w:hint="eastAsia" w:ascii="仿宋_GB2312" w:hAnsi="仿宋_GB2312" w:eastAsia="仿宋_GB2312" w:cs="仿宋_GB2312"/>
          <w:b w:val="0"/>
          <w:bCs w:val="0"/>
          <w:sz w:val="32"/>
          <w:szCs w:val="32"/>
          <w:lang w:val="en-US" w:eastAsia="zh-CN"/>
        </w:rPr>
        <w:t>（1）系统梳理我国现行教育法规范；（2）提出教育法规范体系化构建的核心范畴和基本原则；（3）释明当前教育法规范在全面性、合法性、逻辑自洽性方面存在的问题；（4）提出现行教育法规范的立、改、废具体方案。</w:t>
      </w:r>
    </w:p>
    <w:p w14:paraId="2D05A417">
      <w:pPr>
        <w:keepNext w:val="0"/>
        <w:keepLines w:val="0"/>
        <w:pageBreakBefore w:val="0"/>
        <w:widowControl w:val="0"/>
        <w:kinsoku/>
        <w:wordWrap/>
        <w:overflowPunct/>
        <w:topLinePunct w:val="0"/>
        <w:autoSpaceDE/>
        <w:autoSpaceDN/>
        <w:bidi w:val="0"/>
        <w:adjustRightInd/>
        <w:snapToGrid/>
        <w:spacing w:before="157" w:beforeLines="50" w:after="157" w:afterLines="50"/>
        <w:ind w:firstLine="641"/>
        <w:textAlignment w:val="auto"/>
        <w:rPr>
          <w:rFonts w:hint="eastAsia" w:ascii="Times New Roman" w:hAnsi="Times New Roman" w:eastAsia="楷体_GB2312" w:cs="Times New Roman"/>
          <w:b/>
          <w:bCs/>
          <w:sz w:val="32"/>
          <w:szCs w:val="32"/>
          <w:highlight w:val="none"/>
          <w:lang w:val="en-US" w:eastAsia="zh-CN"/>
        </w:rPr>
      </w:pPr>
      <w:r>
        <w:rPr>
          <w:rFonts w:hint="eastAsia" w:ascii="Times New Roman" w:hAnsi="Times New Roman" w:eastAsia="楷体_GB2312" w:cs="Times New Roman"/>
          <w:b/>
          <w:bCs/>
          <w:sz w:val="32"/>
          <w:szCs w:val="32"/>
          <w:highlight w:val="none"/>
          <w:lang w:val="en-US" w:eastAsia="zh-CN"/>
        </w:rPr>
        <w:t xml:space="preserve">6. </w:t>
      </w:r>
      <w:r>
        <w:rPr>
          <w:rFonts w:hint="eastAsia" w:ascii="Times New Roman" w:hAnsi="Times New Roman" w:eastAsia="楷体_GB2312" w:cs="Times New Roman"/>
          <w:b/>
          <w:bCs/>
          <w:sz w:val="32"/>
          <w:szCs w:val="32"/>
          <w:highlight w:val="none"/>
        </w:rPr>
        <w:t>构建“全球治理倡议”：理论基础、现实挑战与实践路径研究</w:t>
      </w:r>
      <w:r>
        <w:rPr>
          <w:rFonts w:hint="eastAsia" w:ascii="Times New Roman" w:hAnsi="Times New Roman" w:eastAsia="楷体_GB2312" w:cs="Times New Roman"/>
          <w:b/>
          <w:bCs/>
          <w:sz w:val="32"/>
          <w:szCs w:val="32"/>
          <w:highlight w:val="none"/>
          <w:lang w:val="en-US" w:eastAsia="zh-CN"/>
        </w:rPr>
        <w:t>（一般）</w:t>
      </w:r>
    </w:p>
    <w:p w14:paraId="414C5422">
      <w:pPr>
        <w:ind w:firstLine="640"/>
        <w:rPr>
          <w:rFonts w:hint="eastAsia" w:ascii="Times New Roman" w:hAnsi="Times New Roman" w:eastAsia="仿宋_GB2312" w:cs="仿宋_GB2312"/>
          <w:sz w:val="32"/>
          <w:szCs w:val="32"/>
          <w:highlight w:val="none"/>
          <w:lang w:eastAsia="zh-CN"/>
        </w:rPr>
      </w:pPr>
      <w:r>
        <w:rPr>
          <w:rFonts w:hint="eastAsia" w:ascii="Times New Roman" w:hAnsi="Times New Roman" w:eastAsia="仿宋_GB2312" w:cs="仿宋_GB2312"/>
          <w:b/>
          <w:bCs/>
          <w:sz w:val="32"/>
          <w:szCs w:val="32"/>
        </w:rPr>
        <w:t>指南意图：</w:t>
      </w:r>
      <w:r>
        <w:rPr>
          <w:rFonts w:hint="eastAsia" w:ascii="Times New Roman" w:hAnsi="Times New Roman" w:eastAsia="仿宋_GB2312" w:cs="仿宋_GB2312"/>
          <w:b w:val="0"/>
          <w:bCs w:val="0"/>
          <w:sz w:val="32"/>
          <w:szCs w:val="32"/>
        </w:rPr>
        <w:t>（1）全面梳理党的十八大以来，党中央和国家层面重要文件中的涉外内容的核心理念、中心思想和主要观点，强化相关倡议的理论根基</w:t>
      </w:r>
      <w:r>
        <w:rPr>
          <w:rFonts w:hint="eastAsia" w:ascii="Times New Roman" w:hAnsi="Times New Roman" w:eastAsia="仿宋_GB2312" w:cs="仿宋_GB2312"/>
          <w:b w:val="0"/>
          <w:bCs w:val="0"/>
          <w:sz w:val="32"/>
          <w:szCs w:val="32"/>
          <w:lang w:eastAsia="zh-CN"/>
        </w:rPr>
        <w:t>；</w:t>
      </w:r>
      <w:r>
        <w:rPr>
          <w:rFonts w:hint="eastAsia" w:ascii="Times New Roman" w:hAnsi="Times New Roman" w:eastAsia="仿宋_GB2312" w:cs="仿宋_GB2312"/>
          <w:b w:val="0"/>
          <w:bCs w:val="0"/>
          <w:sz w:val="32"/>
          <w:szCs w:val="32"/>
        </w:rPr>
        <w:t>（2）深入贯彻落实习近平总书记提出的“三大倡议”，研究提出“全球治理倡议”的理论及实现路径，构建中国国际倡议体系</w:t>
      </w:r>
      <w:r>
        <w:rPr>
          <w:rFonts w:hint="eastAsia" w:ascii="Times New Roman" w:hAnsi="Times New Roman" w:eastAsia="仿宋_GB2312" w:cs="仿宋_GB2312"/>
          <w:b w:val="0"/>
          <w:bCs w:val="0"/>
          <w:sz w:val="32"/>
          <w:szCs w:val="32"/>
          <w:lang w:eastAsia="zh-CN"/>
        </w:rPr>
        <w:t>；</w:t>
      </w:r>
      <w:r>
        <w:rPr>
          <w:rFonts w:hint="eastAsia" w:ascii="Times New Roman" w:hAnsi="Times New Roman" w:eastAsia="仿宋_GB2312" w:cs="仿宋_GB2312"/>
          <w:b w:val="0"/>
          <w:bCs w:val="0"/>
          <w:sz w:val="32"/>
          <w:szCs w:val="32"/>
        </w:rPr>
        <w:t>（3）探索并提出具有中国特色、国际视野、全球关照的治理框架与行动方案</w:t>
      </w:r>
      <w:r>
        <w:rPr>
          <w:rFonts w:hint="eastAsia" w:ascii="Times New Roman" w:hAnsi="Times New Roman" w:eastAsia="仿宋_GB2312" w:cs="仿宋_GB2312"/>
          <w:b w:val="0"/>
          <w:bCs w:val="0"/>
          <w:sz w:val="32"/>
          <w:szCs w:val="32"/>
          <w:lang w:eastAsia="zh-CN"/>
        </w:rPr>
        <w:t>；（</w:t>
      </w:r>
      <w:r>
        <w:rPr>
          <w:rFonts w:hint="eastAsia" w:ascii="Times New Roman" w:hAnsi="Times New Roman" w:eastAsia="仿宋_GB2312" w:cs="仿宋_GB2312"/>
          <w:b w:val="0"/>
          <w:bCs w:val="0"/>
          <w:sz w:val="32"/>
          <w:szCs w:val="32"/>
          <w:lang w:val="en-US" w:eastAsia="zh-CN"/>
        </w:rPr>
        <w:t>4</w:t>
      </w:r>
      <w:r>
        <w:rPr>
          <w:rFonts w:hint="eastAsia" w:ascii="Times New Roman" w:hAnsi="Times New Roman" w:eastAsia="仿宋_GB2312" w:cs="仿宋_GB2312"/>
          <w:b w:val="0"/>
          <w:bCs w:val="0"/>
          <w:sz w:val="32"/>
          <w:szCs w:val="32"/>
          <w:lang w:eastAsia="zh-CN"/>
        </w:rPr>
        <w:t>）</w:t>
      </w:r>
      <w:r>
        <w:rPr>
          <w:rFonts w:hint="eastAsia" w:ascii="Times New Roman" w:hAnsi="Times New Roman" w:eastAsia="仿宋_GB2312" w:cs="仿宋_GB2312"/>
          <w:b w:val="0"/>
          <w:bCs w:val="0"/>
          <w:sz w:val="32"/>
          <w:szCs w:val="32"/>
          <w:lang w:val="en-US" w:eastAsia="zh-CN"/>
        </w:rPr>
        <w:t>构建</w:t>
      </w:r>
      <w:r>
        <w:rPr>
          <w:rFonts w:hint="eastAsia" w:ascii="Times New Roman" w:hAnsi="Times New Roman" w:eastAsia="仿宋_GB2312" w:cs="仿宋_GB2312"/>
          <w:b w:val="0"/>
          <w:bCs w:val="0"/>
          <w:sz w:val="32"/>
          <w:szCs w:val="32"/>
        </w:rPr>
        <w:t>“全球治理倡议”，研究相关倡议的具体内容、提出时机、实施路径、配套政策和保障措施等。</w:t>
      </w:r>
    </w:p>
    <w:p w14:paraId="59C644F1">
      <w:pPr>
        <w:keepNext w:val="0"/>
        <w:keepLines w:val="0"/>
        <w:pageBreakBefore w:val="0"/>
        <w:widowControl w:val="0"/>
        <w:kinsoku/>
        <w:wordWrap/>
        <w:overflowPunct/>
        <w:topLinePunct w:val="0"/>
        <w:autoSpaceDE/>
        <w:autoSpaceDN/>
        <w:bidi w:val="0"/>
        <w:adjustRightInd/>
        <w:snapToGrid/>
        <w:spacing w:before="157" w:beforeLines="50" w:after="157" w:afterLines="50"/>
        <w:ind w:firstLine="641"/>
        <w:textAlignment w:val="auto"/>
        <w:rPr>
          <w:rFonts w:hint="eastAsia" w:ascii="Times New Roman" w:hAnsi="Times New Roman" w:eastAsia="楷体_GB2312" w:cs="Times New Roman"/>
          <w:b/>
          <w:bCs/>
          <w:sz w:val="32"/>
          <w:szCs w:val="32"/>
          <w:highlight w:val="none"/>
          <w:lang w:val="en-US" w:eastAsia="zh-CN"/>
        </w:rPr>
      </w:pPr>
      <w:r>
        <w:rPr>
          <w:rFonts w:hint="eastAsia" w:ascii="Times New Roman" w:hAnsi="Times New Roman" w:eastAsia="楷体_GB2312" w:cs="Times New Roman"/>
          <w:b/>
          <w:bCs/>
          <w:sz w:val="32"/>
          <w:szCs w:val="32"/>
          <w:highlight w:val="none"/>
          <w:lang w:val="en-US" w:eastAsia="zh-CN"/>
        </w:rPr>
        <w:t>7. 在线教育质量保障和文凭证书认可机制研究（一般）</w:t>
      </w:r>
    </w:p>
    <w:p w14:paraId="66C12212">
      <w:pPr>
        <w:keepNext w:val="0"/>
        <w:keepLines w:val="0"/>
        <w:pageBreakBefore w:val="0"/>
        <w:widowControl w:val="0"/>
        <w:kinsoku/>
        <w:wordWrap/>
        <w:overflowPunct/>
        <w:topLinePunct w:val="0"/>
        <w:autoSpaceDE/>
        <w:autoSpaceDN/>
        <w:bidi w:val="0"/>
        <w:adjustRightInd/>
        <w:snapToGrid/>
        <w:spacing w:before="157" w:beforeLines="50" w:after="157" w:afterLines="50"/>
        <w:ind w:firstLine="641"/>
        <w:textAlignment w:val="auto"/>
        <w:rPr>
          <w:rFonts w:hint="eastAsia" w:ascii="Times New Roman" w:hAnsi="Times New Roman" w:eastAsia="楷体_GB2312" w:cs="Times New Roman"/>
          <w:b/>
          <w:bCs/>
          <w:sz w:val="32"/>
          <w:szCs w:val="32"/>
          <w:highlight w:val="none"/>
          <w:lang w:val="en-US" w:eastAsia="zh-CN"/>
        </w:rPr>
      </w:pPr>
      <w:r>
        <w:rPr>
          <w:rFonts w:hint="eastAsia" w:ascii="楷体_GB2312" w:hAnsi="楷体_GB2312" w:eastAsia="楷体_GB2312" w:cs="楷体_GB2312"/>
          <w:b/>
          <w:bCs/>
          <w:kern w:val="2"/>
          <w:sz w:val="32"/>
          <w:szCs w:val="32"/>
          <w:lang w:val="en-US" w:eastAsia="zh-CN" w:bidi="ar-SA"/>
        </w:rPr>
        <w:t>指南意图：</w:t>
      </w:r>
      <w:r>
        <w:rPr>
          <w:rFonts w:hint="eastAsia" w:ascii="仿宋_GB2312" w:hAnsi="楷体" w:eastAsia="仿宋_GB2312" w:cs="Times New Roman"/>
          <w:kern w:val="2"/>
          <w:sz w:val="32"/>
          <w:szCs w:val="32"/>
          <w:lang w:val="en-US" w:eastAsia="zh-CN" w:bidi="ar-SA"/>
        </w:rPr>
        <w:t>（1）围绕国内外在线教育进行对比研究；（2）研究梳理在线教育质量保障的规划与机制，构建在线教育质量评价标准；（3）借鉴国外在线教育文凭认可经验，总结形成适合我国国情的在线教育文凭认证考察点、评估标准以及认证程序。</w:t>
      </w:r>
    </w:p>
    <w:p w14:paraId="45F701A6">
      <w:pPr>
        <w:keepNext w:val="0"/>
        <w:keepLines w:val="0"/>
        <w:pageBreakBefore w:val="0"/>
        <w:widowControl w:val="0"/>
        <w:kinsoku/>
        <w:wordWrap/>
        <w:overflowPunct/>
        <w:topLinePunct w:val="0"/>
        <w:autoSpaceDE/>
        <w:autoSpaceDN/>
        <w:bidi w:val="0"/>
        <w:adjustRightInd/>
        <w:snapToGrid/>
        <w:spacing w:before="157" w:beforeLines="50" w:after="157" w:afterLines="50"/>
        <w:ind w:firstLine="641"/>
        <w:textAlignment w:val="auto"/>
        <w:rPr>
          <w:rFonts w:hint="eastAsia" w:ascii="Times New Roman" w:hAnsi="Times New Roman" w:eastAsia="楷体_GB2312" w:cs="Times New Roman"/>
          <w:b/>
          <w:bCs/>
          <w:sz w:val="32"/>
          <w:szCs w:val="32"/>
          <w:highlight w:val="none"/>
          <w:lang w:val="en-US" w:eastAsia="zh-CN"/>
        </w:rPr>
      </w:pPr>
      <w:r>
        <w:rPr>
          <w:rFonts w:hint="eastAsia" w:ascii="Times New Roman" w:hAnsi="Times New Roman" w:eastAsia="楷体_GB2312" w:cs="Times New Roman"/>
          <w:b/>
          <w:bCs/>
          <w:sz w:val="32"/>
          <w:szCs w:val="32"/>
          <w:highlight w:val="none"/>
          <w:lang w:val="en-US" w:eastAsia="zh-CN"/>
        </w:rPr>
        <w:t>8. 全球主要国家国际学生全周期管理政策比较与治理创新研究（一般）</w:t>
      </w:r>
    </w:p>
    <w:p w14:paraId="6865705E">
      <w:pPr>
        <w:numPr>
          <w:ilvl w:val="-1"/>
          <w:numId w:val="0"/>
        </w:numPr>
        <w:spacing w:before="157" w:beforeLines="50" w:after="157" w:afterLines="50" w:line="240" w:lineRule="auto"/>
        <w:ind w:firstLine="641" w:firstLineChars="0"/>
        <w:rPr>
          <w:rFonts w:hint="eastAsia" w:ascii="仿宋_GB2312" w:hAnsi="楷体" w:eastAsia="仿宋_GB2312" w:cs="Times New Roman"/>
          <w:b w:val="0"/>
          <w:bCs w:val="0"/>
          <w:sz w:val="32"/>
          <w:szCs w:val="32"/>
          <w:lang w:val="en-US" w:eastAsia="zh-CN"/>
        </w:rPr>
      </w:pPr>
      <w:r>
        <w:rPr>
          <w:rFonts w:hint="eastAsia" w:ascii="仿宋_GB2312" w:hAnsi="楷体" w:eastAsia="仿宋_GB2312" w:cs="Times New Roman"/>
          <w:b w:val="0"/>
          <w:bCs w:val="0"/>
          <w:sz w:val="32"/>
          <w:szCs w:val="32"/>
        </w:rPr>
        <w:t>指南意图：（1）留学政策的核心价值取向和演变规律</w:t>
      </w:r>
      <w:r>
        <w:rPr>
          <w:rFonts w:hint="eastAsia" w:ascii="仿宋_GB2312" w:hAnsi="楷体" w:eastAsia="仿宋_GB2312" w:cs="Times New Roman"/>
          <w:b w:val="0"/>
          <w:bCs w:val="0"/>
          <w:sz w:val="32"/>
          <w:szCs w:val="32"/>
          <w:lang w:eastAsia="zh-CN"/>
        </w:rPr>
        <w:t>的国际比较研究；</w:t>
      </w:r>
      <w:r>
        <w:rPr>
          <w:rFonts w:hint="eastAsia" w:ascii="仿宋_GB2312" w:hAnsi="楷体" w:eastAsia="仿宋_GB2312" w:cs="Times New Roman"/>
          <w:b w:val="0"/>
          <w:bCs w:val="0"/>
          <w:sz w:val="32"/>
          <w:szCs w:val="32"/>
        </w:rPr>
        <w:t>（2）构建全球留学政策动态分析框架，系统评估国际学生流动主要目的国政策工具组合</w:t>
      </w:r>
      <w:r>
        <w:rPr>
          <w:rFonts w:hint="eastAsia" w:ascii="仿宋_GB2312" w:hAnsi="楷体" w:eastAsia="仿宋_GB2312" w:cs="Times New Roman"/>
          <w:b w:val="0"/>
          <w:bCs w:val="0"/>
          <w:sz w:val="32"/>
          <w:szCs w:val="32"/>
          <w:lang w:eastAsia="zh-CN"/>
        </w:rPr>
        <w:t>；（</w:t>
      </w:r>
      <w:r>
        <w:rPr>
          <w:rFonts w:hint="eastAsia" w:ascii="仿宋_GB2312" w:hAnsi="楷体" w:eastAsia="仿宋_GB2312" w:cs="Times New Roman"/>
          <w:b w:val="0"/>
          <w:bCs w:val="0"/>
          <w:sz w:val="32"/>
          <w:szCs w:val="32"/>
          <w:lang w:val="en-US" w:eastAsia="zh-CN"/>
        </w:rPr>
        <w:t>3</w:t>
      </w:r>
      <w:r>
        <w:rPr>
          <w:rFonts w:hint="eastAsia" w:ascii="仿宋_GB2312" w:hAnsi="楷体" w:eastAsia="仿宋_GB2312" w:cs="Times New Roman"/>
          <w:b w:val="0"/>
          <w:bCs w:val="0"/>
          <w:sz w:val="32"/>
          <w:szCs w:val="32"/>
          <w:lang w:eastAsia="zh-CN"/>
        </w:rPr>
        <w:t>）</w:t>
      </w:r>
      <w:r>
        <w:rPr>
          <w:rFonts w:hint="eastAsia" w:ascii="仿宋_GB2312" w:hAnsi="楷体" w:eastAsia="仿宋_GB2312" w:cs="Times New Roman"/>
          <w:b w:val="0"/>
          <w:bCs w:val="0"/>
          <w:sz w:val="32"/>
          <w:szCs w:val="32"/>
        </w:rPr>
        <w:t>形成国际学生流动政策研究的中国范式</w:t>
      </w:r>
      <w:r>
        <w:rPr>
          <w:rFonts w:hint="eastAsia" w:ascii="仿宋_GB2312" w:hAnsi="楷体" w:eastAsia="仿宋_GB2312" w:cs="Times New Roman"/>
          <w:b w:val="0"/>
          <w:bCs w:val="0"/>
          <w:sz w:val="32"/>
          <w:szCs w:val="32"/>
          <w:lang w:eastAsia="zh-CN"/>
        </w:rPr>
        <w:t>；</w:t>
      </w:r>
      <w:r>
        <w:rPr>
          <w:rFonts w:hint="eastAsia" w:ascii="仿宋_GB2312" w:hAnsi="楷体" w:eastAsia="仿宋_GB2312" w:cs="Times New Roman"/>
          <w:b w:val="0"/>
          <w:bCs w:val="0"/>
          <w:sz w:val="32"/>
          <w:szCs w:val="32"/>
        </w:rPr>
        <w:t>（</w:t>
      </w:r>
      <w:r>
        <w:rPr>
          <w:rFonts w:hint="eastAsia" w:ascii="仿宋_GB2312" w:hAnsi="楷体" w:eastAsia="仿宋_GB2312" w:cs="Times New Roman"/>
          <w:b w:val="0"/>
          <w:bCs w:val="0"/>
          <w:sz w:val="32"/>
          <w:szCs w:val="32"/>
          <w:lang w:val="en-US" w:eastAsia="zh-CN"/>
        </w:rPr>
        <w:t>4</w:t>
      </w:r>
      <w:r>
        <w:rPr>
          <w:rFonts w:hint="eastAsia" w:ascii="仿宋_GB2312" w:hAnsi="楷体" w:eastAsia="仿宋_GB2312" w:cs="Times New Roman"/>
          <w:b w:val="0"/>
          <w:bCs w:val="0"/>
          <w:sz w:val="32"/>
          <w:szCs w:val="32"/>
        </w:rPr>
        <w:t>）对美国、英国、德国、法国、日本</w:t>
      </w:r>
      <w:r>
        <w:rPr>
          <w:rFonts w:hint="eastAsia" w:ascii="仿宋_GB2312" w:hAnsi="楷体" w:eastAsia="仿宋_GB2312" w:cs="Times New Roman"/>
          <w:b w:val="0"/>
          <w:bCs w:val="0"/>
          <w:sz w:val="32"/>
          <w:szCs w:val="32"/>
          <w:lang w:eastAsia="zh-CN"/>
        </w:rPr>
        <w:t>、</w:t>
      </w:r>
      <w:r>
        <w:rPr>
          <w:rFonts w:hint="eastAsia" w:ascii="仿宋_GB2312" w:hAnsi="楷体" w:eastAsia="仿宋_GB2312" w:cs="Times New Roman"/>
          <w:b w:val="0"/>
          <w:bCs w:val="0"/>
          <w:sz w:val="32"/>
          <w:szCs w:val="32"/>
          <w:lang w:val="en-US" w:eastAsia="zh-CN"/>
        </w:rPr>
        <w:t>俄罗斯</w:t>
      </w:r>
      <w:r>
        <w:rPr>
          <w:rFonts w:hint="eastAsia" w:ascii="仿宋_GB2312" w:hAnsi="楷体" w:eastAsia="仿宋_GB2312" w:cs="Times New Roman"/>
          <w:b w:val="0"/>
          <w:bCs w:val="0"/>
          <w:sz w:val="32"/>
          <w:szCs w:val="32"/>
        </w:rPr>
        <w:t>等国留学申请、签证、奖学金、学籍、教学培养、社会管理、就业等政策进行对比，提炼形成普适性国际学生流动影响因素分析体系</w:t>
      </w:r>
      <w:r>
        <w:rPr>
          <w:rFonts w:hint="eastAsia" w:ascii="仿宋_GB2312" w:hAnsi="楷体" w:eastAsia="仿宋_GB2312" w:cs="Times New Roman"/>
          <w:b w:val="0"/>
          <w:bCs w:val="0"/>
          <w:sz w:val="32"/>
          <w:szCs w:val="32"/>
          <w:lang w:eastAsia="zh-CN"/>
        </w:rPr>
        <w:t>；（</w:t>
      </w:r>
      <w:r>
        <w:rPr>
          <w:rFonts w:hint="eastAsia" w:ascii="仿宋_GB2312" w:hAnsi="楷体" w:eastAsia="仿宋_GB2312" w:cs="Times New Roman"/>
          <w:b w:val="0"/>
          <w:bCs w:val="0"/>
          <w:sz w:val="32"/>
          <w:szCs w:val="32"/>
          <w:lang w:val="en-US" w:eastAsia="zh-CN"/>
        </w:rPr>
        <w:t>5</w:t>
      </w:r>
      <w:r>
        <w:rPr>
          <w:rFonts w:hint="eastAsia" w:ascii="仿宋_GB2312" w:hAnsi="楷体" w:eastAsia="仿宋_GB2312" w:cs="Times New Roman"/>
          <w:b w:val="0"/>
          <w:bCs w:val="0"/>
          <w:sz w:val="32"/>
          <w:szCs w:val="32"/>
          <w:lang w:eastAsia="zh-CN"/>
        </w:rPr>
        <w:t>）</w:t>
      </w:r>
      <w:r>
        <w:rPr>
          <w:rFonts w:hint="eastAsia" w:ascii="仿宋_GB2312" w:hAnsi="楷体" w:eastAsia="仿宋_GB2312" w:cs="Times New Roman"/>
          <w:b w:val="0"/>
          <w:bCs w:val="0"/>
          <w:sz w:val="32"/>
          <w:szCs w:val="32"/>
        </w:rPr>
        <w:t>构建中国特色国际学生流动治理评价指数</w:t>
      </w:r>
      <w:r>
        <w:rPr>
          <w:rFonts w:hint="eastAsia" w:ascii="仿宋_GB2312" w:hAnsi="楷体" w:eastAsia="仿宋_GB2312" w:cs="Times New Roman"/>
          <w:b w:val="0"/>
          <w:bCs w:val="0"/>
          <w:sz w:val="32"/>
          <w:szCs w:val="32"/>
          <w:lang w:eastAsia="zh-CN"/>
        </w:rPr>
        <w:t>；（</w:t>
      </w:r>
      <w:r>
        <w:rPr>
          <w:rFonts w:hint="eastAsia" w:ascii="仿宋_GB2312" w:hAnsi="楷体" w:eastAsia="仿宋_GB2312" w:cs="Times New Roman"/>
          <w:b w:val="0"/>
          <w:bCs w:val="0"/>
          <w:sz w:val="32"/>
          <w:szCs w:val="32"/>
          <w:lang w:val="en-US" w:eastAsia="zh-CN"/>
        </w:rPr>
        <w:t>6</w:t>
      </w:r>
      <w:r>
        <w:rPr>
          <w:rFonts w:hint="eastAsia" w:ascii="仿宋_GB2312" w:hAnsi="楷体" w:eastAsia="仿宋_GB2312" w:cs="Times New Roman"/>
          <w:b w:val="0"/>
          <w:bCs w:val="0"/>
          <w:sz w:val="32"/>
          <w:szCs w:val="32"/>
          <w:lang w:eastAsia="zh-CN"/>
        </w:rPr>
        <w:t>）提出</w:t>
      </w:r>
      <w:r>
        <w:rPr>
          <w:rFonts w:hint="eastAsia" w:ascii="仿宋_GB2312" w:hAnsi="楷体" w:eastAsia="仿宋_GB2312" w:cs="Times New Roman"/>
          <w:b w:val="0"/>
          <w:bCs w:val="0"/>
          <w:sz w:val="32"/>
          <w:szCs w:val="32"/>
        </w:rPr>
        <w:t>优化中国国际教育治理体系</w:t>
      </w:r>
      <w:r>
        <w:rPr>
          <w:rFonts w:hint="eastAsia" w:ascii="仿宋_GB2312" w:hAnsi="楷体" w:eastAsia="仿宋_GB2312" w:cs="Times New Roman"/>
          <w:b w:val="0"/>
          <w:bCs w:val="0"/>
          <w:sz w:val="32"/>
          <w:szCs w:val="32"/>
          <w:lang w:eastAsia="zh-CN"/>
        </w:rPr>
        <w:t>的</w:t>
      </w:r>
      <w:r>
        <w:rPr>
          <w:rFonts w:hint="eastAsia" w:ascii="仿宋_GB2312" w:hAnsi="楷体" w:eastAsia="仿宋_GB2312" w:cs="Times New Roman"/>
          <w:b w:val="0"/>
          <w:bCs w:val="0"/>
          <w:sz w:val="32"/>
          <w:szCs w:val="32"/>
        </w:rPr>
        <w:t>战略建议。</w:t>
      </w:r>
    </w:p>
    <w:p w14:paraId="2189E685">
      <w:pPr>
        <w:keepNext w:val="0"/>
        <w:keepLines w:val="0"/>
        <w:pageBreakBefore w:val="0"/>
        <w:widowControl w:val="0"/>
        <w:kinsoku/>
        <w:wordWrap/>
        <w:overflowPunct/>
        <w:topLinePunct w:val="0"/>
        <w:autoSpaceDE/>
        <w:autoSpaceDN/>
        <w:bidi w:val="0"/>
        <w:adjustRightInd/>
        <w:snapToGrid/>
        <w:spacing w:before="157" w:beforeLines="50" w:after="157" w:afterLines="50"/>
        <w:ind w:firstLine="641"/>
        <w:textAlignment w:val="auto"/>
        <w:rPr>
          <w:rFonts w:hint="eastAsia" w:ascii="Times New Roman" w:hAnsi="Times New Roman" w:eastAsia="楷体_GB2312" w:cs="Times New Roman"/>
          <w:b/>
          <w:bCs/>
          <w:sz w:val="32"/>
          <w:szCs w:val="32"/>
          <w:highlight w:val="none"/>
          <w:lang w:val="en-US" w:eastAsia="zh-CN"/>
        </w:rPr>
      </w:pPr>
      <w:r>
        <w:rPr>
          <w:rFonts w:hint="eastAsia" w:ascii="Times New Roman" w:hAnsi="Times New Roman" w:eastAsia="楷体_GB2312" w:cs="Times New Roman"/>
          <w:b/>
          <w:bCs/>
          <w:sz w:val="32"/>
          <w:szCs w:val="32"/>
          <w:highlight w:val="none"/>
          <w:lang w:val="en-US" w:eastAsia="zh-CN"/>
        </w:rPr>
        <w:t>9. 教育法典编纂过程中教材立法研究（培育）</w:t>
      </w:r>
    </w:p>
    <w:p w14:paraId="180B5FBE">
      <w:pPr>
        <w:numPr>
          <w:ilvl w:val="0"/>
          <w:numId w:val="0"/>
        </w:numPr>
        <w:spacing w:line="560" w:lineRule="exact"/>
        <w:ind w:firstLine="640" w:firstLineChars="200"/>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指南意图：（1）阐释“教材建设国家事权”的法理意蕴；（2）论证教材专门立法的必要性和可行性；（3）研究起草《教材管理条例》；（4）形成教育法典编纂背景下教材立法的可行路径与具体操作建议。</w:t>
      </w:r>
    </w:p>
    <w:p w14:paraId="6DB152FB">
      <w:pPr>
        <w:keepNext w:val="0"/>
        <w:keepLines w:val="0"/>
        <w:pageBreakBefore w:val="0"/>
        <w:widowControl w:val="0"/>
        <w:kinsoku/>
        <w:wordWrap/>
        <w:overflowPunct/>
        <w:topLinePunct w:val="0"/>
        <w:autoSpaceDE/>
        <w:autoSpaceDN/>
        <w:bidi w:val="0"/>
        <w:adjustRightInd/>
        <w:snapToGrid/>
        <w:spacing w:before="157" w:beforeLines="50" w:after="157" w:afterLines="50"/>
        <w:ind w:firstLine="641"/>
        <w:textAlignment w:val="auto"/>
        <w:rPr>
          <w:rFonts w:hint="eastAsia" w:ascii="Times New Roman" w:hAnsi="Times New Roman" w:eastAsia="楷体_GB2312" w:cs="Times New Roman"/>
          <w:b/>
          <w:bCs/>
          <w:sz w:val="32"/>
          <w:szCs w:val="32"/>
          <w:highlight w:val="none"/>
          <w:lang w:val="en-US" w:eastAsia="zh-CN"/>
        </w:rPr>
      </w:pPr>
      <w:r>
        <w:rPr>
          <w:rFonts w:hint="eastAsia" w:ascii="Times New Roman" w:hAnsi="Times New Roman" w:eastAsia="楷体_GB2312" w:cs="Times New Roman"/>
          <w:b/>
          <w:bCs/>
          <w:sz w:val="32"/>
          <w:szCs w:val="32"/>
          <w:highlight w:val="none"/>
          <w:lang w:val="en-US" w:eastAsia="zh-CN"/>
        </w:rPr>
        <w:t xml:space="preserve">10. </w:t>
      </w:r>
      <w:bookmarkStart w:id="0" w:name="OLE_LINK1"/>
      <w:r>
        <w:rPr>
          <w:rFonts w:hint="eastAsia" w:ascii="Times New Roman" w:hAnsi="Times New Roman" w:eastAsia="楷体_GB2312" w:cs="Times New Roman"/>
          <w:b/>
          <w:bCs/>
          <w:sz w:val="32"/>
          <w:szCs w:val="32"/>
          <w:highlight w:val="none"/>
          <w:lang w:val="en-US" w:eastAsia="zh-CN"/>
        </w:rPr>
        <w:t>教育法典编纂过程中专门教育立法研究</w:t>
      </w:r>
      <w:bookmarkEnd w:id="0"/>
      <w:r>
        <w:rPr>
          <w:rFonts w:hint="eastAsia" w:ascii="Times New Roman" w:hAnsi="Times New Roman" w:eastAsia="楷体_GB2312" w:cs="Times New Roman"/>
          <w:b/>
          <w:bCs/>
          <w:sz w:val="32"/>
          <w:szCs w:val="32"/>
          <w:highlight w:val="none"/>
          <w:lang w:val="en-US" w:eastAsia="zh-CN"/>
        </w:rPr>
        <w:t>（培育）</w:t>
      </w:r>
    </w:p>
    <w:p w14:paraId="4315702E">
      <w:pPr>
        <w:numPr>
          <w:ilvl w:val="0"/>
          <w:numId w:val="0"/>
        </w:numPr>
        <w:spacing w:line="560" w:lineRule="exact"/>
        <w:ind w:firstLine="643" w:firstLineChars="200"/>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bCs/>
          <w:sz w:val="32"/>
          <w:szCs w:val="32"/>
          <w:lang w:val="en-US" w:eastAsia="zh-CN"/>
        </w:rPr>
        <w:t>指南意图：</w:t>
      </w:r>
      <w:r>
        <w:rPr>
          <w:rFonts w:hint="eastAsia" w:ascii="Times New Roman" w:hAnsi="Times New Roman" w:eastAsia="仿宋_GB2312" w:cs="仿宋_GB2312"/>
          <w:b w:val="0"/>
          <w:bCs w:val="0"/>
          <w:sz w:val="32"/>
          <w:szCs w:val="32"/>
          <w:lang w:val="en-US" w:eastAsia="zh-CN"/>
        </w:rPr>
        <w:t>（1）阐释专门教育立法的价值与理论坐标；（2）分析当前专门教育制度建设存在的问题；（3）比较借鉴域外关于专门教育立法的有益经验；（4）提出教育法典编纂下专门教育立法的具体建议。</w:t>
      </w:r>
    </w:p>
    <w:p w14:paraId="4E26DD8D">
      <w:pPr>
        <w:keepNext w:val="0"/>
        <w:keepLines w:val="0"/>
        <w:pageBreakBefore w:val="0"/>
        <w:widowControl w:val="0"/>
        <w:kinsoku/>
        <w:wordWrap/>
        <w:overflowPunct/>
        <w:topLinePunct w:val="0"/>
        <w:autoSpaceDE/>
        <w:autoSpaceDN/>
        <w:bidi w:val="0"/>
        <w:adjustRightInd/>
        <w:snapToGrid/>
        <w:spacing w:before="157" w:beforeLines="50" w:after="157" w:afterLines="50"/>
        <w:ind w:firstLine="641"/>
        <w:textAlignment w:val="auto"/>
        <w:rPr>
          <w:rFonts w:hint="eastAsia" w:ascii="Times New Roman" w:hAnsi="Times New Roman" w:eastAsia="楷体_GB2312" w:cs="Times New Roman"/>
          <w:b/>
          <w:bCs/>
          <w:sz w:val="32"/>
          <w:szCs w:val="32"/>
          <w:highlight w:val="none"/>
          <w:lang w:val="en-US" w:eastAsia="zh-CN"/>
        </w:rPr>
      </w:pPr>
      <w:r>
        <w:rPr>
          <w:rFonts w:hint="eastAsia" w:ascii="Times New Roman" w:hAnsi="Times New Roman" w:eastAsia="楷体_GB2312" w:cs="Times New Roman"/>
          <w:b/>
          <w:bCs/>
          <w:sz w:val="32"/>
          <w:szCs w:val="32"/>
          <w:highlight w:val="none"/>
          <w:lang w:val="en-US" w:eastAsia="zh-CN"/>
        </w:rPr>
        <w:t>11. 教育纠纷多元化解机制研究（培育）</w:t>
      </w:r>
    </w:p>
    <w:p w14:paraId="64C7D42E">
      <w:pPr>
        <w:numPr>
          <w:ilvl w:val="0"/>
          <w:numId w:val="0"/>
        </w:numPr>
        <w:spacing w:line="560" w:lineRule="exact"/>
        <w:ind w:firstLine="643" w:firstLineChars="200"/>
        <w:rPr>
          <w:rFonts w:hint="eastAsia" w:ascii="Times New Roman" w:hAnsi="Times New Roman" w:eastAsia="仿宋_GB2312" w:cs="仿宋_GB2312"/>
          <w:b/>
          <w:bCs/>
          <w:sz w:val="32"/>
          <w:szCs w:val="32"/>
          <w:lang w:val="en-US" w:eastAsia="zh-CN"/>
        </w:rPr>
      </w:pPr>
      <w:r>
        <w:rPr>
          <w:rFonts w:hint="eastAsia" w:ascii="Times New Roman" w:hAnsi="Times New Roman" w:eastAsia="仿宋_GB2312" w:cs="仿宋_GB2312"/>
          <w:b/>
          <w:bCs/>
          <w:sz w:val="32"/>
          <w:szCs w:val="32"/>
          <w:lang w:val="en-US" w:eastAsia="zh-CN"/>
        </w:rPr>
        <w:t>指南意图：</w:t>
      </w:r>
      <w:r>
        <w:rPr>
          <w:rFonts w:hint="eastAsia" w:ascii="Times New Roman" w:hAnsi="Times New Roman" w:eastAsia="仿宋_GB2312" w:cs="仿宋_GB2312"/>
          <w:b w:val="0"/>
          <w:bCs w:val="0"/>
          <w:sz w:val="32"/>
          <w:szCs w:val="32"/>
          <w:lang w:val="en-US" w:eastAsia="zh-CN"/>
        </w:rPr>
        <w:t>（1）分析教育领域纠纷的主要类型；（2）研究现有争端解决机制的现状与问题；（3）就多元化解教育领域纠纷提出具体建议。</w:t>
      </w:r>
    </w:p>
    <w:p w14:paraId="19EFFD8B">
      <w:pPr>
        <w:keepNext w:val="0"/>
        <w:keepLines w:val="0"/>
        <w:pageBreakBefore w:val="0"/>
        <w:widowControl w:val="0"/>
        <w:kinsoku/>
        <w:wordWrap/>
        <w:overflowPunct/>
        <w:topLinePunct w:val="0"/>
        <w:autoSpaceDE/>
        <w:autoSpaceDN/>
        <w:bidi w:val="0"/>
        <w:adjustRightInd/>
        <w:snapToGrid/>
        <w:spacing w:before="157" w:beforeLines="50" w:after="157" w:afterLines="50"/>
        <w:ind w:firstLine="641"/>
        <w:textAlignment w:val="auto"/>
        <w:rPr>
          <w:rFonts w:hint="eastAsia" w:ascii="Times New Roman" w:hAnsi="Times New Roman" w:eastAsia="楷体_GB2312" w:cs="Times New Roman"/>
          <w:b/>
          <w:bCs/>
          <w:sz w:val="32"/>
          <w:szCs w:val="32"/>
          <w:highlight w:val="none"/>
          <w:lang w:val="en-US" w:eastAsia="zh-CN"/>
        </w:rPr>
      </w:pPr>
      <w:r>
        <w:rPr>
          <w:rFonts w:hint="eastAsia" w:ascii="Times New Roman" w:hAnsi="Times New Roman" w:eastAsia="楷体_GB2312" w:cs="Times New Roman"/>
          <w:b/>
          <w:bCs/>
          <w:sz w:val="32"/>
          <w:szCs w:val="32"/>
          <w:highlight w:val="none"/>
          <w:lang w:val="en-US" w:eastAsia="zh-CN"/>
        </w:rPr>
        <w:t>12. 高等教育行政诉讼的司法审查标准研究（培育）</w:t>
      </w:r>
    </w:p>
    <w:p w14:paraId="6F5D4A93">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b/>
          <w:bCs/>
          <w:sz w:val="32"/>
          <w:szCs w:val="32"/>
        </w:rPr>
      </w:pPr>
      <w:r>
        <w:rPr>
          <w:rFonts w:hint="eastAsia" w:ascii="Times New Roman" w:hAnsi="Times New Roman" w:eastAsia="仿宋_GB2312" w:cs="仿宋_GB2312"/>
          <w:b/>
          <w:bCs/>
          <w:sz w:val="32"/>
          <w:szCs w:val="32"/>
          <w:lang w:val="en-US" w:eastAsia="zh-CN"/>
        </w:rPr>
        <w:t>指南意图：</w:t>
      </w:r>
      <w:r>
        <w:rPr>
          <w:rFonts w:hint="eastAsia" w:ascii="Times New Roman" w:hAnsi="Times New Roman" w:eastAsia="仿宋_GB2312" w:cs="仿宋_GB2312"/>
          <w:b w:val="0"/>
          <w:bCs w:val="0"/>
          <w:sz w:val="32"/>
          <w:szCs w:val="32"/>
          <w:lang w:val="en-US" w:eastAsia="zh-CN"/>
        </w:rPr>
        <w:t>（1）阐释高等教育行政诉讼司法裁量标准的特殊性；（2）构建具有中国特色的高等教育学术自治和高等教育司法监督的理论；（3）构建体系化的高等教育行政诉讼司法裁量标准。</w:t>
      </w:r>
    </w:p>
    <w:p w14:paraId="7E2F340E">
      <w:pPr>
        <w:keepNext w:val="0"/>
        <w:keepLines w:val="0"/>
        <w:pageBreakBefore w:val="0"/>
        <w:widowControl w:val="0"/>
        <w:kinsoku/>
        <w:wordWrap/>
        <w:overflowPunct/>
        <w:topLinePunct w:val="0"/>
        <w:autoSpaceDE/>
        <w:autoSpaceDN/>
        <w:bidi w:val="0"/>
        <w:adjustRightInd/>
        <w:snapToGrid/>
        <w:spacing w:before="157" w:beforeLines="50" w:after="157" w:afterLines="50"/>
        <w:ind w:firstLine="641"/>
        <w:textAlignment w:val="auto"/>
        <w:rPr>
          <w:rFonts w:hint="eastAsia" w:ascii="Times New Roman" w:hAnsi="Times New Roman" w:eastAsia="楷体_GB2312" w:cs="Times New Roman"/>
          <w:b/>
          <w:bCs/>
          <w:sz w:val="32"/>
          <w:szCs w:val="32"/>
          <w:highlight w:val="none"/>
          <w:lang w:val="en-US" w:eastAsia="zh-CN"/>
        </w:rPr>
      </w:pPr>
      <w:r>
        <w:rPr>
          <w:rFonts w:hint="eastAsia" w:ascii="Times New Roman" w:hAnsi="Times New Roman" w:eastAsia="楷体_GB2312" w:cs="Times New Roman"/>
          <w:b/>
          <w:bCs/>
          <w:sz w:val="32"/>
          <w:szCs w:val="32"/>
          <w:highlight w:val="none"/>
          <w:lang w:val="en-US" w:eastAsia="zh-CN"/>
        </w:rPr>
        <w:t>13. 维护教师职业尊严和合法权益体制机制研究（培育）</w:t>
      </w:r>
    </w:p>
    <w:p w14:paraId="174D0688">
      <w:pPr>
        <w:ind w:firstLine="640"/>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bCs/>
          <w:sz w:val="32"/>
          <w:szCs w:val="32"/>
          <w:lang w:val="en-US" w:eastAsia="zh-CN"/>
        </w:rPr>
        <w:t>指南意图：</w:t>
      </w:r>
      <w:r>
        <w:rPr>
          <w:rFonts w:hint="eastAsia" w:ascii="仿宋_GB2312" w:hAnsi="仿宋_GB2312" w:eastAsia="仿宋_GB2312" w:cs="仿宋_GB2312"/>
          <w:b w:val="0"/>
          <w:bCs w:val="0"/>
          <w:sz w:val="32"/>
          <w:szCs w:val="32"/>
          <w:lang w:val="en-US" w:eastAsia="zh-CN"/>
        </w:rPr>
        <w:t>（1）阐释教师职业尊严和教师合法权益的基本内涵、相互关系、原则、理念；（2）分析侵犯教师职业尊严和合法权益的基本行为类型；（3）总结当前维护教师职业尊严和合法权益体制机制存在的问题；（4）教师权益救济制度的整合优化及教师法中相关条款的完善；（5）提出完善相关体制机制和法律条款的具体对策建议。</w:t>
      </w:r>
    </w:p>
    <w:p w14:paraId="56159F95">
      <w:pPr>
        <w:keepNext w:val="0"/>
        <w:keepLines w:val="0"/>
        <w:pageBreakBefore w:val="0"/>
        <w:widowControl w:val="0"/>
        <w:kinsoku/>
        <w:wordWrap/>
        <w:overflowPunct/>
        <w:topLinePunct w:val="0"/>
        <w:autoSpaceDE/>
        <w:autoSpaceDN/>
        <w:bidi w:val="0"/>
        <w:adjustRightInd/>
        <w:snapToGrid/>
        <w:spacing w:before="157" w:beforeLines="50" w:after="157" w:afterLines="50"/>
        <w:ind w:firstLine="641"/>
        <w:textAlignment w:val="auto"/>
        <w:rPr>
          <w:rFonts w:hint="eastAsia" w:ascii="Times New Roman" w:hAnsi="Times New Roman" w:eastAsia="楷体_GB2312" w:cs="Times New Roman"/>
          <w:b/>
          <w:bCs/>
          <w:sz w:val="32"/>
          <w:szCs w:val="32"/>
          <w:highlight w:val="none"/>
          <w:lang w:val="en-US" w:eastAsia="zh-CN"/>
        </w:rPr>
      </w:pPr>
      <w:r>
        <w:rPr>
          <w:rFonts w:hint="eastAsia" w:ascii="Times New Roman" w:hAnsi="Times New Roman" w:eastAsia="楷体_GB2312" w:cs="Times New Roman"/>
          <w:b/>
          <w:bCs/>
          <w:sz w:val="32"/>
          <w:szCs w:val="32"/>
          <w:highlight w:val="none"/>
          <w:lang w:val="en-US" w:eastAsia="zh-CN"/>
        </w:rPr>
        <w:t>14. 学校法治工作的标准化体系化研究（培育）</w:t>
      </w:r>
    </w:p>
    <w:p w14:paraId="2DB70F50">
      <w:pPr>
        <w:numPr>
          <w:ilvl w:val="0"/>
          <w:numId w:val="0"/>
        </w:numPr>
        <w:spacing w:line="560" w:lineRule="exact"/>
        <w:ind w:firstLine="643"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指南意图：</w:t>
      </w:r>
      <w:r>
        <w:rPr>
          <w:rFonts w:hint="eastAsia" w:ascii="仿宋_GB2312" w:hAnsi="仿宋_GB2312" w:eastAsia="仿宋_GB2312" w:cs="仿宋_GB2312"/>
          <w:b w:val="0"/>
          <w:bCs w:val="0"/>
          <w:sz w:val="32"/>
          <w:szCs w:val="32"/>
          <w:lang w:val="en-US" w:eastAsia="zh-CN"/>
        </w:rPr>
        <w:t>（1）阐释学校法治工作的内容、原理、原则及其在学校治理中的地位和作用；（2）提出完善学校法治工作指标体系的意见建议；（3）阐明学校法治工作标准化建设的路径与方法；（4）建立学校法治工作体系化的框架与运行机制。</w:t>
      </w:r>
    </w:p>
    <w:p w14:paraId="1CCC08F9">
      <w:pPr>
        <w:keepNext w:val="0"/>
        <w:keepLines w:val="0"/>
        <w:pageBreakBefore w:val="0"/>
        <w:widowControl w:val="0"/>
        <w:kinsoku/>
        <w:wordWrap/>
        <w:overflowPunct/>
        <w:topLinePunct w:val="0"/>
        <w:autoSpaceDE/>
        <w:autoSpaceDN/>
        <w:bidi w:val="0"/>
        <w:adjustRightInd/>
        <w:snapToGrid/>
        <w:spacing w:before="157" w:beforeLines="50" w:after="157" w:afterLines="50"/>
        <w:ind w:firstLine="641"/>
        <w:textAlignment w:val="auto"/>
        <w:rPr>
          <w:rFonts w:hint="eastAsia" w:ascii="Times New Roman" w:hAnsi="Times New Roman" w:eastAsia="楷体_GB2312" w:cs="Times New Roman"/>
          <w:b/>
          <w:bCs/>
          <w:sz w:val="32"/>
          <w:szCs w:val="32"/>
          <w:highlight w:val="none"/>
          <w:lang w:val="en-US" w:eastAsia="zh-CN"/>
        </w:rPr>
      </w:pPr>
      <w:r>
        <w:rPr>
          <w:rFonts w:hint="eastAsia" w:ascii="Times New Roman" w:hAnsi="Times New Roman" w:eastAsia="楷体_GB2312" w:cs="Times New Roman"/>
          <w:b/>
          <w:bCs/>
          <w:sz w:val="32"/>
          <w:szCs w:val="32"/>
          <w:highlight w:val="none"/>
          <w:lang w:val="en-US" w:eastAsia="zh-CN"/>
        </w:rPr>
        <w:t>15. 数字化背景下青少年法治教育的创新模式与评估体系研究（培育）</w:t>
      </w:r>
    </w:p>
    <w:p w14:paraId="3845BFF4">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bCs/>
          <w:sz w:val="32"/>
          <w:szCs w:val="32"/>
          <w:lang w:val="en-US" w:eastAsia="zh-CN"/>
        </w:rPr>
        <w:t>指南意图：</w:t>
      </w:r>
      <w:r>
        <w:rPr>
          <w:rFonts w:hint="eastAsia" w:ascii="仿宋_GB2312" w:hAnsi="仿宋_GB2312" w:eastAsia="仿宋_GB2312" w:cs="仿宋_GB2312"/>
          <w:b w:val="0"/>
          <w:bCs w:val="0"/>
          <w:sz w:val="32"/>
          <w:szCs w:val="32"/>
          <w:lang w:val="en-US" w:eastAsia="zh-CN"/>
        </w:rPr>
        <w:t>（1）论证在青少年法治教育中应用数字化技术的必要性和可行性；（2）比较借鉴域外青少年法治教育的数字化有益经验；（3）立足现实情况与未来发展需要创新设计数字化青少年法治教育模式；（4）基于创新教育模式建立包括评估指标、工具、方法、结果应用、保障机制等内容在内的青少年法治教育评估体系。</w:t>
      </w:r>
    </w:p>
    <w:p w14:paraId="018BA11B">
      <w:pPr>
        <w:keepNext w:val="0"/>
        <w:keepLines w:val="0"/>
        <w:pageBreakBefore w:val="0"/>
        <w:widowControl w:val="0"/>
        <w:kinsoku/>
        <w:wordWrap/>
        <w:overflowPunct/>
        <w:topLinePunct w:val="0"/>
        <w:autoSpaceDE/>
        <w:autoSpaceDN/>
        <w:bidi w:val="0"/>
        <w:adjustRightInd/>
        <w:snapToGrid/>
        <w:spacing w:before="157" w:beforeLines="50" w:after="157" w:afterLines="50"/>
        <w:ind w:firstLine="641"/>
        <w:textAlignment w:val="auto"/>
        <w:rPr>
          <w:rFonts w:hint="eastAsia" w:ascii="Times New Roman" w:hAnsi="Times New Roman" w:eastAsia="楷体_GB2312" w:cs="Times New Roman"/>
          <w:b/>
          <w:bCs/>
          <w:sz w:val="32"/>
          <w:szCs w:val="32"/>
          <w:highlight w:val="none"/>
          <w:lang w:val="en-US" w:eastAsia="zh-CN"/>
        </w:rPr>
      </w:pPr>
      <w:r>
        <w:rPr>
          <w:rFonts w:hint="eastAsia" w:ascii="Times New Roman" w:hAnsi="Times New Roman" w:eastAsia="楷体_GB2312" w:cs="Times New Roman"/>
          <w:b/>
          <w:bCs/>
          <w:sz w:val="32"/>
          <w:szCs w:val="32"/>
          <w:highlight w:val="none"/>
          <w:lang w:val="en-US" w:eastAsia="zh-CN"/>
        </w:rPr>
        <w:t>16. 学校法律风险防范体系研究（培育）</w:t>
      </w:r>
    </w:p>
    <w:p w14:paraId="190CAC8B">
      <w:pPr>
        <w:numPr>
          <w:ilvl w:val="0"/>
          <w:numId w:val="0"/>
        </w:numPr>
        <w:spacing w:line="560" w:lineRule="exact"/>
        <w:ind w:firstLine="643"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指南意图：</w:t>
      </w:r>
      <w:r>
        <w:rPr>
          <w:rFonts w:hint="eastAsia" w:ascii="仿宋_GB2312" w:hAnsi="仿宋_GB2312" w:eastAsia="仿宋_GB2312" w:cs="仿宋_GB2312"/>
          <w:b w:val="0"/>
          <w:bCs w:val="0"/>
          <w:sz w:val="32"/>
          <w:szCs w:val="32"/>
          <w:lang w:val="en-US" w:eastAsia="zh-CN"/>
        </w:rPr>
        <w:t>（1）梳理学校管理全流程法律风险类型；（2）梳理学校法律风险防控存在的突出问题；（3）比较借鉴域外风险防控制度经验；（4）构建具有中国特色的学校法律风险预防性法律保障机制。</w:t>
      </w:r>
    </w:p>
    <w:p w14:paraId="3153F53B">
      <w:pPr>
        <w:keepNext w:val="0"/>
        <w:keepLines w:val="0"/>
        <w:pageBreakBefore w:val="0"/>
        <w:widowControl w:val="0"/>
        <w:kinsoku/>
        <w:wordWrap/>
        <w:overflowPunct/>
        <w:topLinePunct w:val="0"/>
        <w:autoSpaceDE/>
        <w:autoSpaceDN/>
        <w:bidi w:val="0"/>
        <w:adjustRightInd/>
        <w:snapToGrid/>
        <w:spacing w:before="157" w:beforeLines="50" w:after="157" w:afterLines="50"/>
        <w:ind w:firstLine="641"/>
        <w:textAlignment w:val="auto"/>
        <w:rPr>
          <w:rFonts w:hint="eastAsia" w:ascii="Times New Roman" w:hAnsi="Times New Roman" w:eastAsia="楷体_GB2312" w:cs="Times New Roman"/>
          <w:b/>
          <w:bCs/>
          <w:sz w:val="32"/>
          <w:szCs w:val="32"/>
          <w:highlight w:val="none"/>
          <w:lang w:val="en-US" w:eastAsia="zh-CN"/>
        </w:rPr>
      </w:pPr>
      <w:r>
        <w:rPr>
          <w:rFonts w:hint="eastAsia" w:ascii="Times New Roman" w:hAnsi="Times New Roman" w:eastAsia="楷体_GB2312" w:cs="Times New Roman"/>
          <w:b/>
          <w:bCs/>
          <w:sz w:val="32"/>
          <w:szCs w:val="32"/>
          <w:highlight w:val="none"/>
          <w:lang w:val="en-US" w:eastAsia="zh-CN"/>
        </w:rPr>
        <w:t>17. 中国留学生境外保障机制研究（培育）</w:t>
      </w:r>
    </w:p>
    <w:p w14:paraId="5F14670C">
      <w:pPr>
        <w:ind w:firstLine="643" w:firstLineChars="200"/>
        <w:rPr>
          <w:rFonts w:hint="eastAsia" w:ascii="Times New Roman" w:hAnsi="Times New Roman" w:eastAsia="仿宋_GB2312" w:cs="仿宋_GB2312"/>
          <w:b w:val="0"/>
          <w:bCs w:val="0"/>
          <w:sz w:val="32"/>
          <w:szCs w:val="32"/>
        </w:rPr>
      </w:pPr>
      <w:r>
        <w:rPr>
          <w:rFonts w:ascii="楷体_GB2312" w:hAnsi="楷体_GB2312" w:eastAsia="楷体_GB2312" w:cs="楷体_GB2312"/>
          <w:b/>
          <w:bCs/>
          <w:sz w:val="32"/>
          <w:szCs w:val="32"/>
        </w:rPr>
        <w:t>指南意图：</w:t>
      </w:r>
      <w:r>
        <w:rPr>
          <w:rFonts w:ascii="仿宋_GB2312" w:hAnsi="楷体" w:eastAsia="仿宋_GB2312" w:cs="Times New Roman"/>
          <w:sz w:val="32"/>
          <w:szCs w:val="32"/>
        </w:rPr>
        <w:t>（1）</w:t>
      </w:r>
      <w:r>
        <w:rPr>
          <w:rFonts w:hint="eastAsia" w:ascii="仿宋_GB2312" w:hAnsi="楷体" w:eastAsia="仿宋_GB2312" w:cs="Times New Roman"/>
          <w:sz w:val="32"/>
          <w:szCs w:val="32"/>
          <w:lang w:val="en-US" w:eastAsia="zh-CN"/>
        </w:rPr>
        <w:t>分析</w:t>
      </w:r>
      <w:r>
        <w:rPr>
          <w:rFonts w:hint="eastAsia" w:ascii="仿宋_GB2312" w:hAnsi="楷体" w:eastAsia="仿宋_GB2312" w:cs="Times New Roman"/>
          <w:sz w:val="32"/>
          <w:szCs w:val="32"/>
        </w:rPr>
        <w:t>境外留学人员的安全需求</w:t>
      </w:r>
      <w:r>
        <w:rPr>
          <w:rFonts w:hint="eastAsia" w:ascii="仿宋_GB2312" w:hAnsi="楷体" w:eastAsia="仿宋_GB2312" w:cs="Times New Roman"/>
          <w:sz w:val="32"/>
          <w:szCs w:val="32"/>
          <w:lang w:eastAsia="zh-CN"/>
        </w:rPr>
        <w:t>；</w:t>
      </w:r>
      <w:r>
        <w:rPr>
          <w:rFonts w:hint="eastAsia" w:ascii="仿宋_GB2312" w:hAnsi="楷体" w:eastAsia="仿宋_GB2312" w:cs="Times New Roman"/>
          <w:sz w:val="32"/>
          <w:szCs w:val="32"/>
        </w:rPr>
        <w:t>（2）梳理影响留学人员学业完成的因素</w:t>
      </w:r>
      <w:r>
        <w:rPr>
          <w:rFonts w:hint="eastAsia" w:ascii="仿宋_GB2312" w:hAnsi="楷体" w:eastAsia="仿宋_GB2312" w:cs="Times New Roman"/>
          <w:sz w:val="32"/>
          <w:szCs w:val="32"/>
          <w:lang w:eastAsia="zh-CN"/>
        </w:rPr>
        <w:t>；</w:t>
      </w:r>
      <w:r>
        <w:rPr>
          <w:rFonts w:hint="eastAsia" w:ascii="仿宋_GB2312" w:hAnsi="楷体" w:eastAsia="仿宋_GB2312" w:cs="Times New Roman"/>
          <w:sz w:val="32"/>
          <w:szCs w:val="32"/>
        </w:rPr>
        <w:t>（3）</w:t>
      </w:r>
      <w:r>
        <w:rPr>
          <w:rFonts w:hint="eastAsia" w:ascii="仿宋_GB2312" w:hAnsi="楷体" w:eastAsia="仿宋_GB2312" w:cs="Times New Roman"/>
          <w:sz w:val="32"/>
          <w:szCs w:val="32"/>
          <w:lang w:val="en-US" w:eastAsia="zh-CN"/>
        </w:rPr>
        <w:t>梳理分析</w:t>
      </w:r>
      <w:r>
        <w:rPr>
          <w:rFonts w:hint="eastAsia" w:ascii="仿宋_GB2312" w:hAnsi="楷体" w:eastAsia="仿宋_GB2312" w:cs="Times New Roman"/>
          <w:sz w:val="32"/>
          <w:szCs w:val="32"/>
        </w:rPr>
        <w:t>留学人员安全事件及受不公对待案例</w:t>
      </w:r>
      <w:r>
        <w:rPr>
          <w:rFonts w:hint="eastAsia" w:ascii="仿宋_GB2312" w:hAnsi="楷体" w:eastAsia="仿宋_GB2312" w:cs="Times New Roman"/>
          <w:sz w:val="32"/>
          <w:szCs w:val="32"/>
          <w:lang w:eastAsia="zh-CN"/>
        </w:rPr>
        <w:t>；</w:t>
      </w:r>
      <w:r>
        <w:rPr>
          <w:rFonts w:hint="eastAsia" w:ascii="仿宋_GB2312" w:hAnsi="楷体" w:eastAsia="仿宋_GB2312" w:cs="Times New Roman"/>
          <w:sz w:val="32"/>
          <w:szCs w:val="32"/>
        </w:rPr>
        <w:t>（4）探究需求和因素背后的深层原因</w:t>
      </w:r>
      <w:r>
        <w:rPr>
          <w:rFonts w:hint="eastAsia" w:ascii="仿宋_GB2312" w:hAnsi="楷体" w:eastAsia="仿宋_GB2312" w:cs="Times New Roman"/>
          <w:sz w:val="32"/>
          <w:szCs w:val="32"/>
          <w:lang w:eastAsia="zh-CN"/>
        </w:rPr>
        <w:t>；</w:t>
      </w:r>
      <w:r>
        <w:rPr>
          <w:rFonts w:hint="eastAsia" w:ascii="仿宋_GB2312" w:hAnsi="楷体" w:eastAsia="仿宋_GB2312" w:cs="Times New Roman"/>
          <w:sz w:val="32"/>
          <w:szCs w:val="32"/>
        </w:rPr>
        <w:t>（5）</w:t>
      </w:r>
      <w:r>
        <w:rPr>
          <w:rFonts w:hint="eastAsia" w:ascii="仿宋_GB2312" w:hAnsi="楷体" w:eastAsia="仿宋_GB2312" w:cs="Times New Roman"/>
          <w:sz w:val="32"/>
          <w:szCs w:val="32"/>
          <w:lang w:val="en-US" w:eastAsia="zh-CN"/>
        </w:rPr>
        <w:t>对比国外经验和实践要求，提高</w:t>
      </w:r>
      <w:r>
        <w:rPr>
          <w:rFonts w:hint="eastAsia" w:ascii="仿宋_GB2312" w:hAnsi="楷体" w:eastAsia="仿宋_GB2312" w:cs="Times New Roman"/>
          <w:sz w:val="32"/>
          <w:szCs w:val="32"/>
        </w:rPr>
        <w:t>留学人员</w:t>
      </w:r>
      <w:r>
        <w:rPr>
          <w:rFonts w:hint="eastAsia" w:ascii="Times New Roman" w:hAnsi="Times New Roman" w:eastAsia="仿宋_GB2312" w:cs="仿宋_GB2312"/>
          <w:sz w:val="32"/>
          <w:szCs w:val="32"/>
        </w:rPr>
        <w:t>安全、法律保障机制、心理支持机制、防骗反诈机制</w:t>
      </w:r>
      <w:r>
        <w:rPr>
          <w:rFonts w:hint="eastAsia" w:ascii="Times New Roman" w:hAnsi="Times New Roman" w:eastAsia="仿宋_GB2312" w:cs="仿宋_GB2312"/>
          <w:sz w:val="32"/>
          <w:szCs w:val="32"/>
          <w:lang w:val="en-US" w:eastAsia="zh-CN"/>
        </w:rPr>
        <w:t>等</w:t>
      </w:r>
      <w:r>
        <w:rPr>
          <w:rFonts w:hint="eastAsia" w:ascii="Times New Roman" w:hAnsi="Times New Roman" w:eastAsia="仿宋_GB2312" w:cs="仿宋_GB2312"/>
          <w:sz w:val="32"/>
          <w:szCs w:val="32"/>
          <w:lang w:eastAsia="zh-CN"/>
        </w:rPr>
        <w:t>的</w:t>
      </w:r>
      <w:r>
        <w:rPr>
          <w:rFonts w:hint="eastAsia" w:ascii="Times New Roman" w:hAnsi="Times New Roman" w:eastAsia="仿宋_GB2312" w:cs="仿宋_GB2312"/>
          <w:sz w:val="32"/>
          <w:szCs w:val="32"/>
          <w:lang w:val="en-US" w:eastAsia="zh-CN"/>
        </w:rPr>
        <w:t>建议</w:t>
      </w:r>
      <w:r>
        <w:rPr>
          <w:rFonts w:hint="eastAsia" w:ascii="Times New Roman" w:hAnsi="Times New Roman" w:eastAsia="仿宋_GB2312" w:cs="仿宋_GB2312"/>
          <w:sz w:val="32"/>
          <w:szCs w:val="32"/>
          <w:lang w:eastAsia="zh-CN"/>
        </w:rPr>
        <w:t>。</w:t>
      </w:r>
    </w:p>
    <w:p w14:paraId="3222A24A">
      <w:pPr>
        <w:keepNext w:val="0"/>
        <w:keepLines w:val="0"/>
        <w:pageBreakBefore w:val="0"/>
        <w:widowControl w:val="0"/>
        <w:kinsoku/>
        <w:wordWrap/>
        <w:overflowPunct/>
        <w:topLinePunct w:val="0"/>
        <w:autoSpaceDE/>
        <w:autoSpaceDN/>
        <w:bidi w:val="0"/>
        <w:adjustRightInd/>
        <w:snapToGrid/>
        <w:spacing w:before="157" w:beforeLines="50" w:after="157" w:afterLines="50"/>
        <w:ind w:firstLine="641"/>
        <w:textAlignment w:val="auto"/>
        <w:rPr>
          <w:rFonts w:hint="eastAsia" w:ascii="Times New Roman" w:hAnsi="Times New Roman" w:eastAsia="楷体_GB2312" w:cs="Times New Roman"/>
          <w:b/>
          <w:bCs/>
          <w:sz w:val="32"/>
          <w:szCs w:val="32"/>
          <w:highlight w:val="none"/>
          <w:lang w:val="en-US" w:eastAsia="zh-CN"/>
        </w:rPr>
      </w:pPr>
      <w:r>
        <w:rPr>
          <w:rFonts w:hint="eastAsia" w:ascii="Times New Roman" w:hAnsi="Times New Roman" w:eastAsia="楷体_GB2312" w:cs="Times New Roman"/>
          <w:b/>
          <w:bCs/>
          <w:sz w:val="32"/>
          <w:szCs w:val="32"/>
          <w:highlight w:val="none"/>
          <w:lang w:val="en-US" w:eastAsia="zh-CN"/>
        </w:rPr>
        <w:t>18. 海外办学的法律风险防范与应对研究（培育）</w:t>
      </w:r>
    </w:p>
    <w:p w14:paraId="5415DC83">
      <w:pPr>
        <w:keepNext w:val="0"/>
        <w:keepLines w:val="0"/>
        <w:pageBreakBefore w:val="0"/>
        <w:widowControl w:val="0"/>
        <w:kinsoku/>
        <w:wordWrap/>
        <w:overflowPunct/>
        <w:topLinePunct w:val="0"/>
        <w:autoSpaceDE/>
        <w:autoSpaceDN/>
        <w:bidi w:val="0"/>
        <w:adjustRightInd/>
        <w:snapToGrid/>
        <w:spacing w:before="157" w:beforeLines="50" w:after="157" w:afterLines="50"/>
        <w:ind w:firstLine="641"/>
        <w:textAlignment w:val="auto"/>
        <w:rPr>
          <w:rFonts w:hint="eastAsia" w:ascii="Times New Roman" w:hAnsi="Times New Roman" w:eastAsia="楷体_GB2312" w:cs="Times New Roman"/>
          <w:b w:val="0"/>
          <w:bCs w:val="0"/>
          <w:sz w:val="32"/>
          <w:szCs w:val="32"/>
          <w:highlight w:val="none"/>
          <w:lang w:val="en-US" w:eastAsia="zh-CN"/>
        </w:rPr>
      </w:pPr>
      <w:r>
        <w:rPr>
          <w:rFonts w:ascii="楷体_GB2312" w:hAnsi="楷体_GB2312" w:eastAsia="楷体_GB2312" w:cs="楷体_GB2312"/>
          <w:b/>
          <w:bCs/>
          <w:sz w:val="32"/>
          <w:szCs w:val="32"/>
        </w:rPr>
        <w:t>指南意图：</w:t>
      </w:r>
      <w:r>
        <w:rPr>
          <w:rFonts w:hint="eastAsia" w:ascii="Times New Roman" w:hAnsi="Times New Roman" w:eastAsia="仿宋_GB2312" w:cs="仿宋_GB2312"/>
          <w:b w:val="0"/>
          <w:bCs w:val="0"/>
          <w:sz w:val="32"/>
          <w:szCs w:val="32"/>
        </w:rPr>
        <w:t>（1）梳理海外办学法律风险点；（2）调研高等学校境外办学现状；（3）海外办学法律实践案例</w:t>
      </w:r>
      <w:r>
        <w:rPr>
          <w:rFonts w:hint="eastAsia" w:ascii="Times New Roman" w:hAnsi="Times New Roman" w:eastAsia="仿宋_GB2312" w:cs="仿宋_GB2312"/>
          <w:b w:val="0"/>
          <w:bCs w:val="0"/>
          <w:sz w:val="32"/>
          <w:szCs w:val="32"/>
          <w:lang w:eastAsia="zh-CN"/>
        </w:rPr>
        <w:t>研究</w:t>
      </w:r>
      <w:r>
        <w:rPr>
          <w:rFonts w:hint="eastAsia" w:ascii="Times New Roman" w:hAnsi="Times New Roman" w:eastAsia="仿宋_GB2312" w:cs="仿宋_GB2312"/>
          <w:b w:val="0"/>
          <w:bCs w:val="0"/>
          <w:sz w:val="32"/>
          <w:szCs w:val="32"/>
        </w:rPr>
        <w:t>；（</w:t>
      </w:r>
      <w:r>
        <w:rPr>
          <w:rFonts w:hint="eastAsia" w:ascii="Times New Roman" w:hAnsi="Times New Roman" w:eastAsia="仿宋_GB2312" w:cs="仿宋_GB2312"/>
          <w:b w:val="0"/>
          <w:bCs w:val="0"/>
          <w:sz w:val="32"/>
          <w:szCs w:val="32"/>
          <w:lang w:val="en-US" w:eastAsia="zh-CN"/>
        </w:rPr>
        <w:t>4</w:t>
      </w:r>
      <w:r>
        <w:rPr>
          <w:rFonts w:hint="eastAsia" w:ascii="Times New Roman" w:hAnsi="Times New Roman" w:eastAsia="仿宋_GB2312" w:cs="仿宋_GB2312"/>
          <w:b w:val="0"/>
          <w:bCs w:val="0"/>
          <w:sz w:val="32"/>
          <w:szCs w:val="32"/>
        </w:rPr>
        <w:t>）基于国别</w:t>
      </w:r>
      <w:r>
        <w:rPr>
          <w:rFonts w:hint="eastAsia" w:ascii="Times New Roman" w:hAnsi="Times New Roman" w:eastAsia="仿宋_GB2312" w:cs="仿宋_GB2312"/>
          <w:b w:val="0"/>
          <w:bCs w:val="0"/>
          <w:sz w:val="32"/>
          <w:szCs w:val="32"/>
          <w:lang w:eastAsia="zh-CN"/>
        </w:rPr>
        <w:t>的</w:t>
      </w:r>
      <w:r>
        <w:rPr>
          <w:rFonts w:hint="eastAsia" w:ascii="Times New Roman" w:hAnsi="Times New Roman" w:eastAsia="仿宋_GB2312" w:cs="仿宋_GB2312"/>
          <w:b w:val="0"/>
          <w:bCs w:val="0"/>
          <w:sz w:val="32"/>
          <w:szCs w:val="32"/>
        </w:rPr>
        <w:t>海外办学可能面临的主要法律风险类型领域</w:t>
      </w:r>
      <w:r>
        <w:rPr>
          <w:rFonts w:hint="eastAsia" w:ascii="Times New Roman" w:hAnsi="Times New Roman" w:eastAsia="仿宋_GB2312" w:cs="仿宋_GB2312"/>
          <w:b w:val="0"/>
          <w:bCs w:val="0"/>
          <w:sz w:val="32"/>
          <w:szCs w:val="32"/>
          <w:lang w:eastAsia="zh-CN"/>
        </w:rPr>
        <w:t>研究</w:t>
      </w:r>
      <w:r>
        <w:rPr>
          <w:rFonts w:hint="eastAsia" w:ascii="Times New Roman" w:hAnsi="Times New Roman" w:eastAsia="仿宋_GB2312" w:cs="仿宋_GB2312"/>
          <w:b w:val="0"/>
          <w:bCs w:val="0"/>
          <w:sz w:val="32"/>
          <w:szCs w:val="32"/>
        </w:rPr>
        <w:t>；（</w:t>
      </w:r>
      <w:r>
        <w:rPr>
          <w:rFonts w:hint="eastAsia" w:ascii="Times New Roman" w:hAnsi="Times New Roman" w:eastAsia="仿宋_GB2312" w:cs="仿宋_GB2312"/>
          <w:b w:val="0"/>
          <w:bCs w:val="0"/>
          <w:sz w:val="32"/>
          <w:szCs w:val="32"/>
          <w:lang w:val="en-US" w:eastAsia="zh-CN"/>
        </w:rPr>
        <w:t>5</w:t>
      </w:r>
      <w:r>
        <w:rPr>
          <w:rFonts w:hint="eastAsia" w:ascii="Times New Roman" w:hAnsi="Times New Roman" w:eastAsia="仿宋_GB2312" w:cs="仿宋_GB2312"/>
          <w:b w:val="0"/>
          <w:bCs w:val="0"/>
          <w:sz w:val="32"/>
          <w:szCs w:val="32"/>
        </w:rPr>
        <w:t>）高等教育海外办学高质量发展</w:t>
      </w:r>
      <w:r>
        <w:rPr>
          <w:rFonts w:hint="eastAsia" w:ascii="Times New Roman" w:hAnsi="Times New Roman" w:eastAsia="仿宋_GB2312" w:cs="仿宋_GB2312"/>
          <w:b w:val="0"/>
          <w:bCs w:val="0"/>
          <w:sz w:val="32"/>
          <w:szCs w:val="32"/>
          <w:lang w:val="en-US" w:eastAsia="zh-CN"/>
        </w:rPr>
        <w:t>的风险</w:t>
      </w:r>
      <w:r>
        <w:rPr>
          <w:rFonts w:hint="eastAsia" w:ascii="Times New Roman" w:hAnsi="Times New Roman" w:eastAsia="仿宋_GB2312" w:cs="仿宋_GB2312"/>
          <w:b w:val="0"/>
          <w:bCs w:val="0"/>
          <w:sz w:val="32"/>
          <w:szCs w:val="32"/>
        </w:rPr>
        <w:t>防范策略</w:t>
      </w:r>
      <w:r>
        <w:rPr>
          <w:rFonts w:hint="eastAsia" w:ascii="Times New Roman" w:hAnsi="Times New Roman" w:eastAsia="仿宋_GB2312" w:cs="仿宋_GB2312"/>
          <w:b w:val="0"/>
          <w:bCs w:val="0"/>
          <w:sz w:val="32"/>
          <w:szCs w:val="32"/>
          <w:lang w:eastAsia="zh-CN"/>
        </w:rPr>
        <w:t>、</w:t>
      </w:r>
      <w:r>
        <w:rPr>
          <w:rFonts w:hint="eastAsia" w:ascii="Times New Roman" w:hAnsi="Times New Roman" w:eastAsia="仿宋_GB2312" w:cs="仿宋_GB2312"/>
          <w:b w:val="0"/>
          <w:bCs w:val="0"/>
          <w:sz w:val="32"/>
          <w:szCs w:val="32"/>
        </w:rPr>
        <w:t>防范体系</w:t>
      </w:r>
      <w:r>
        <w:rPr>
          <w:rFonts w:hint="eastAsia" w:ascii="Times New Roman" w:hAnsi="Times New Roman" w:eastAsia="仿宋_GB2312" w:cs="仿宋_GB2312"/>
          <w:b w:val="0"/>
          <w:bCs w:val="0"/>
          <w:sz w:val="32"/>
          <w:szCs w:val="32"/>
          <w:lang w:val="en-US" w:eastAsia="zh-CN"/>
        </w:rPr>
        <w:t>及</w:t>
      </w:r>
      <w:r>
        <w:rPr>
          <w:rFonts w:hint="eastAsia" w:ascii="Times New Roman" w:hAnsi="Times New Roman" w:eastAsia="仿宋_GB2312" w:cs="仿宋_GB2312"/>
          <w:b w:val="0"/>
          <w:bCs w:val="0"/>
          <w:sz w:val="32"/>
          <w:szCs w:val="32"/>
        </w:rPr>
        <w:t>应对机制</w:t>
      </w:r>
      <w:r>
        <w:rPr>
          <w:rFonts w:hint="eastAsia" w:ascii="Times New Roman" w:hAnsi="Times New Roman" w:eastAsia="仿宋_GB2312" w:cs="仿宋_GB2312"/>
          <w:b w:val="0"/>
          <w:bCs w:val="0"/>
          <w:sz w:val="32"/>
          <w:szCs w:val="32"/>
          <w:lang w:eastAsia="zh-CN"/>
        </w:rPr>
        <w:t>研究</w:t>
      </w:r>
      <w:r>
        <w:rPr>
          <w:rFonts w:hint="eastAsia" w:ascii="Times New Roman" w:hAnsi="Times New Roman" w:eastAsia="仿宋_GB2312" w:cs="仿宋_GB2312"/>
          <w:b w:val="0"/>
          <w:bCs w:val="0"/>
          <w:sz w:val="32"/>
          <w:szCs w:val="32"/>
        </w:rPr>
        <w:t>。</w:t>
      </w:r>
    </w:p>
    <w:p w14:paraId="38D344E2">
      <w:pPr>
        <w:keepNext w:val="0"/>
        <w:keepLines w:val="0"/>
        <w:pageBreakBefore w:val="0"/>
        <w:widowControl w:val="0"/>
        <w:kinsoku/>
        <w:wordWrap/>
        <w:overflowPunct/>
        <w:topLinePunct w:val="0"/>
        <w:autoSpaceDE/>
        <w:autoSpaceDN/>
        <w:bidi w:val="0"/>
        <w:adjustRightInd/>
        <w:snapToGrid/>
        <w:spacing w:before="157" w:beforeLines="50" w:after="157" w:afterLines="50"/>
        <w:ind w:firstLine="641"/>
        <w:textAlignment w:val="auto"/>
        <w:rPr>
          <w:rFonts w:hint="eastAsia" w:ascii="Times New Roman" w:hAnsi="Times New Roman" w:eastAsia="楷体_GB2312" w:cs="Times New Roman"/>
          <w:b/>
          <w:bCs/>
          <w:sz w:val="32"/>
          <w:szCs w:val="32"/>
          <w:highlight w:val="none"/>
          <w:lang w:val="en-US" w:eastAsia="zh-CN"/>
        </w:rPr>
      </w:pPr>
      <w:r>
        <w:rPr>
          <w:rFonts w:hint="eastAsia" w:ascii="Times New Roman" w:hAnsi="Times New Roman" w:eastAsia="楷体_GB2312" w:cs="Times New Roman"/>
          <w:b/>
          <w:bCs/>
          <w:sz w:val="32"/>
          <w:szCs w:val="32"/>
          <w:highlight w:val="none"/>
          <w:lang w:val="en-US" w:eastAsia="zh-CN"/>
        </w:rPr>
        <w:t>19. 来华留学的准入、评价与服务机制研究（培育）</w:t>
      </w:r>
    </w:p>
    <w:p w14:paraId="58E3EC80">
      <w:pPr>
        <w:numPr>
          <w:ilvl w:val="0"/>
          <w:numId w:val="0"/>
        </w:numPr>
        <w:spacing w:line="560" w:lineRule="exact"/>
        <w:ind w:firstLine="643" w:firstLineChars="200"/>
        <w:rPr>
          <w:rFonts w:hint="default" w:ascii="Times New Roman" w:hAnsi="Times New Roman" w:eastAsia="仿宋_GB2312" w:cs="仿宋_GB2312"/>
          <w:sz w:val="32"/>
          <w:szCs w:val="32"/>
          <w:lang w:val="en-US" w:eastAsia="zh-CN"/>
        </w:rPr>
      </w:pPr>
      <w:r>
        <w:rPr>
          <w:rFonts w:ascii="楷体_GB2312" w:hAnsi="楷体_GB2312" w:eastAsia="楷体_GB2312" w:cs="楷体_GB2312"/>
          <w:b/>
          <w:bCs/>
          <w:sz w:val="32"/>
          <w:szCs w:val="32"/>
        </w:rPr>
        <w:t>指南意图：</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聚焦留学的准入、评价与服务三个方面开展调研</w:t>
      </w:r>
      <w:r>
        <w:rPr>
          <w:rFonts w:hint="eastAsia" w:ascii="Times New Roman" w:hAnsi="Times New Roman" w:eastAsia="仿宋_GB2312" w:cs="仿宋_GB2312"/>
          <w:sz w:val="32"/>
          <w:szCs w:val="32"/>
          <w:lang w:eastAsia="zh-CN"/>
        </w:rPr>
        <w:t>和国际比较</w:t>
      </w:r>
      <w:r>
        <w:rPr>
          <w:rFonts w:hint="eastAsia" w:ascii="Times New Roman" w:hAnsi="Times New Roman" w:eastAsia="仿宋_GB2312" w:cs="仿宋_GB2312"/>
          <w:sz w:val="32"/>
          <w:szCs w:val="32"/>
        </w:rPr>
        <w:t>研究</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2</w:t>
      </w:r>
      <w:r>
        <w:rPr>
          <w:rFonts w:hint="eastAsia" w:ascii="Times New Roman" w:hAnsi="Times New Roman" w:eastAsia="仿宋_GB2312" w:cs="仿宋_GB2312"/>
          <w:sz w:val="32"/>
          <w:szCs w:val="32"/>
          <w:lang w:eastAsia="zh-CN"/>
        </w:rPr>
        <w:t>）对</w:t>
      </w:r>
      <w:r>
        <w:rPr>
          <w:rFonts w:hint="eastAsia" w:ascii="Times New Roman" w:hAnsi="Times New Roman" w:eastAsia="仿宋_GB2312" w:cs="仿宋_GB2312"/>
          <w:sz w:val="32"/>
          <w:szCs w:val="32"/>
        </w:rPr>
        <w:t>来华留学相关各方</w:t>
      </w:r>
      <w:r>
        <w:rPr>
          <w:rFonts w:hint="eastAsia" w:ascii="Times New Roman" w:hAnsi="Times New Roman" w:eastAsia="仿宋_GB2312" w:cs="仿宋_GB2312"/>
          <w:sz w:val="32"/>
          <w:szCs w:val="32"/>
          <w:lang w:eastAsia="zh-CN"/>
        </w:rPr>
        <w:t>调研</w:t>
      </w:r>
      <w:r>
        <w:rPr>
          <w:rFonts w:hint="eastAsia" w:ascii="Times New Roman" w:hAnsi="Times New Roman" w:eastAsia="仿宋_GB2312" w:cs="仿宋_GB2312"/>
          <w:sz w:val="32"/>
          <w:szCs w:val="32"/>
        </w:rPr>
        <w:t>来华留学存在</w:t>
      </w:r>
      <w:r>
        <w:rPr>
          <w:rFonts w:hint="eastAsia" w:ascii="Times New Roman" w:hAnsi="Times New Roman" w:eastAsia="仿宋_GB2312" w:cs="仿宋_GB2312"/>
          <w:sz w:val="32"/>
          <w:szCs w:val="32"/>
          <w:lang w:eastAsia="zh-CN"/>
        </w:rPr>
        <w:t>的</w:t>
      </w:r>
      <w:r>
        <w:rPr>
          <w:rFonts w:hint="eastAsia" w:ascii="Times New Roman" w:hAnsi="Times New Roman" w:eastAsia="仿宋_GB2312" w:cs="仿宋_GB2312"/>
          <w:sz w:val="32"/>
          <w:szCs w:val="32"/>
        </w:rPr>
        <w:t>问题、不足与挑战</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3</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提出</w:t>
      </w:r>
      <w:r>
        <w:rPr>
          <w:rFonts w:hint="eastAsia" w:ascii="Times New Roman" w:hAnsi="Times New Roman" w:eastAsia="仿宋_GB2312" w:cs="仿宋_GB2312"/>
          <w:sz w:val="32"/>
          <w:szCs w:val="32"/>
          <w:lang w:val="en-US" w:eastAsia="zh-CN"/>
        </w:rPr>
        <w:t>优化来华留学准入机制、评价体系、留学体验的对策建议。</w:t>
      </w:r>
    </w:p>
    <w:p w14:paraId="6576652F">
      <w:pPr>
        <w:keepNext w:val="0"/>
        <w:keepLines w:val="0"/>
        <w:pageBreakBefore w:val="0"/>
        <w:widowControl/>
        <w:numPr>
          <w:ilvl w:val="0"/>
          <w:numId w:val="0"/>
        </w:numPr>
        <w:kinsoku/>
        <w:wordWrap/>
        <w:overflowPunct/>
        <w:topLinePunct w:val="0"/>
        <w:autoSpaceDE/>
        <w:autoSpaceDN/>
        <w:bidi w:val="0"/>
        <w:adjustRightInd/>
        <w:snapToGrid/>
        <w:spacing w:before="0" w:beforeLines="-2147483648" w:after="0" w:afterLines="-2147483648" w:line="560" w:lineRule="exact"/>
        <w:ind w:firstLine="643" w:firstLineChars="200"/>
        <w:textAlignment w:val="auto"/>
        <w:rPr>
          <w:rFonts w:hint="eastAsia" w:ascii="Times New Roman" w:hAnsi="Times New Roman" w:eastAsia="楷体_GB2312" w:cs="Times New Roman"/>
          <w:b/>
          <w:bCs/>
          <w:sz w:val="32"/>
          <w:szCs w:val="32"/>
          <w:highlight w:val="none"/>
          <w:lang w:val="en-US" w:eastAsia="zh-CN"/>
        </w:rPr>
      </w:pPr>
      <w:r>
        <w:rPr>
          <w:rFonts w:hint="eastAsia" w:ascii="Times New Roman" w:hAnsi="Times New Roman" w:eastAsia="楷体_GB2312" w:cs="Times New Roman"/>
          <w:b/>
          <w:bCs/>
          <w:sz w:val="32"/>
          <w:szCs w:val="32"/>
          <w:highlight w:val="none"/>
          <w:lang w:val="en-US" w:eastAsia="zh-CN"/>
        </w:rPr>
        <w:t>20. 建设具有全球影响力的重要教育中心的保障体系研究（培育）</w:t>
      </w:r>
    </w:p>
    <w:p w14:paraId="4A350A8F">
      <w:pPr>
        <w:ind w:firstLine="640"/>
        <w:rPr>
          <w:rFonts w:hint="eastAsia" w:ascii="Times New Roman" w:hAnsi="Times New Roman" w:eastAsia="仿宋_GB2312" w:cs="仿宋_GB2312"/>
          <w:sz w:val="32"/>
          <w:szCs w:val="32"/>
          <w:highlight w:val="none"/>
        </w:rPr>
      </w:pPr>
      <w:r>
        <w:rPr>
          <w:rFonts w:hint="eastAsia" w:ascii="Times New Roman" w:hAnsi="Times New Roman" w:eastAsia="楷体_GB2312" w:cs="Times New Roman"/>
          <w:b/>
          <w:bCs/>
          <w:sz w:val="32"/>
          <w:szCs w:val="32"/>
          <w:highlight w:val="none"/>
          <w:lang w:val="en-US" w:eastAsia="zh-CN"/>
        </w:rPr>
        <w:t>指南意图：</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lang w:val="en-US" w:eastAsia="zh-CN"/>
        </w:rPr>
        <w:t>1</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梳理建设全球重要教育中心过程中涉及的法律政策问题</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lang w:val="en-US" w:eastAsia="zh-CN"/>
        </w:rPr>
        <w:t>2</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分析国际上设立教育类国际组织的法律政策框架</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lang w:val="en-US" w:eastAsia="zh-CN"/>
        </w:rPr>
        <w:t>3</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lang w:val="en-US" w:eastAsia="zh-CN"/>
        </w:rPr>
        <w:t>围绕当前在</w:t>
      </w:r>
      <w:r>
        <w:rPr>
          <w:rFonts w:hint="eastAsia" w:ascii="Times New Roman" w:hAnsi="Times New Roman" w:eastAsia="仿宋_GB2312" w:cs="仿宋_GB2312"/>
          <w:sz w:val="32"/>
          <w:szCs w:val="32"/>
          <w:highlight w:val="none"/>
        </w:rPr>
        <w:t>我国设立全球教育类国际组织</w:t>
      </w:r>
      <w:r>
        <w:rPr>
          <w:rFonts w:hint="eastAsia" w:ascii="Times New Roman" w:hAnsi="Times New Roman" w:eastAsia="仿宋_GB2312" w:cs="仿宋_GB2312"/>
          <w:sz w:val="32"/>
          <w:szCs w:val="32"/>
          <w:highlight w:val="none"/>
          <w:lang w:val="en-US" w:eastAsia="zh-CN"/>
        </w:rPr>
        <w:t>开展法律政策分析研究</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lang w:val="en-US" w:eastAsia="zh-CN"/>
        </w:rPr>
        <w:t>4</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提出针对性的解决方案。</w:t>
      </w:r>
    </w:p>
    <w:p w14:paraId="21872A37">
      <w:pPr>
        <w:keepNext w:val="0"/>
        <w:keepLines w:val="0"/>
        <w:pageBreakBefore w:val="0"/>
        <w:widowControl w:val="0"/>
        <w:kinsoku/>
        <w:wordWrap/>
        <w:overflowPunct/>
        <w:topLinePunct w:val="0"/>
        <w:autoSpaceDE/>
        <w:autoSpaceDN/>
        <w:bidi w:val="0"/>
        <w:adjustRightInd/>
        <w:snapToGrid/>
        <w:spacing w:before="157" w:beforeLines="50" w:after="157" w:afterLines="50"/>
        <w:ind w:firstLine="641"/>
        <w:textAlignment w:val="auto"/>
        <w:rPr>
          <w:rFonts w:ascii="Times New Roman" w:hAnsi="Times New Roman"/>
          <w:b/>
          <w:bCs/>
        </w:rPr>
      </w:pPr>
      <w:r>
        <w:rPr>
          <w:rFonts w:hint="eastAsia" w:ascii="Times New Roman" w:hAnsi="Times New Roman" w:eastAsia="楷体_GB2312" w:cs="Times New Roman"/>
          <w:b/>
          <w:bCs/>
          <w:sz w:val="32"/>
          <w:szCs w:val="32"/>
          <w:highlight w:val="none"/>
          <w:lang w:val="en-US" w:eastAsia="zh-CN"/>
        </w:rPr>
        <w:t>21. 中国教育国际标准的研制与推广机制研究（培育）</w:t>
      </w:r>
    </w:p>
    <w:p w14:paraId="72B367EB">
      <w:pPr>
        <w:ind w:firstLine="640" w:firstLineChars="0"/>
        <w:rPr>
          <w:rFonts w:hint="eastAsia" w:ascii="Times New Roman" w:hAnsi="Times New Roman" w:eastAsia="仿宋_GB2312" w:cs="仿宋_GB2312"/>
          <w:b w:val="0"/>
          <w:bCs w:val="0"/>
          <w:sz w:val="32"/>
          <w:szCs w:val="32"/>
          <w:highlight w:val="none"/>
        </w:rPr>
      </w:pPr>
      <w:r>
        <w:rPr>
          <w:rFonts w:hint="eastAsia" w:ascii="Times New Roman" w:hAnsi="Times New Roman" w:eastAsia="楷体_GB2312" w:cs="Times New Roman"/>
          <w:b/>
          <w:bCs/>
          <w:sz w:val="32"/>
          <w:szCs w:val="32"/>
          <w:highlight w:val="none"/>
          <w:lang w:val="en-US" w:eastAsia="zh-CN"/>
        </w:rPr>
        <w:t>指南意图：</w:t>
      </w:r>
      <w:r>
        <w:rPr>
          <w:rFonts w:hint="eastAsia" w:ascii="Times New Roman" w:hAnsi="Times New Roman" w:eastAsia="仿宋_GB2312" w:cs="仿宋_GB2312"/>
          <w:b w:val="0"/>
          <w:bCs w:val="0"/>
          <w:sz w:val="32"/>
          <w:szCs w:val="32"/>
          <w:highlight w:val="none"/>
          <w:lang w:val="en-US" w:eastAsia="zh-CN"/>
        </w:rPr>
        <w:t>（1）分析各级各类教育中国际标准涉及的要素、领域、维度、内涵等；（2）调研中国高等教育标准国际化的发展现状；（3）总结国际优秀做法与先进经验；（4）提出中国教育国际标准研制建议以及标准体系构建建议；（5）提出相应的一揽子推广建议与方案。</w:t>
      </w:r>
    </w:p>
    <w:p w14:paraId="16DAF9AA">
      <w:pPr>
        <w:numPr>
          <w:ilvl w:val="0"/>
          <w:numId w:val="0"/>
        </w:numPr>
        <w:ind w:firstLine="643" w:firstLineChars="200"/>
        <w:rPr>
          <w:rFonts w:hint="eastAsia" w:ascii="Times New Roman" w:hAnsi="Times New Roman" w:eastAsia="楷体_GB2312" w:cs="Times New Roman"/>
          <w:b/>
          <w:bCs/>
          <w:sz w:val="32"/>
          <w:szCs w:val="32"/>
          <w:highlight w:val="none"/>
          <w:lang w:val="en-US" w:eastAsia="zh-CN"/>
        </w:rPr>
      </w:pPr>
      <w:r>
        <w:rPr>
          <w:rFonts w:hint="eastAsia" w:ascii="Times New Roman" w:hAnsi="Times New Roman" w:eastAsia="楷体_GB2312" w:cs="Times New Roman"/>
          <w:b/>
          <w:bCs/>
          <w:sz w:val="32"/>
          <w:szCs w:val="32"/>
          <w:highlight w:val="none"/>
          <w:lang w:val="en-US" w:eastAsia="zh-CN"/>
        </w:rPr>
        <w:t>22.国（境）外低质量学位学历的法律和治理机制研究（培育）</w:t>
      </w:r>
    </w:p>
    <w:p w14:paraId="7F33352A">
      <w:pPr>
        <w:keepNext w:val="0"/>
        <w:keepLines w:val="0"/>
        <w:pageBreakBefore w:val="0"/>
        <w:widowControl w:val="0"/>
        <w:kinsoku/>
        <w:wordWrap/>
        <w:overflowPunct/>
        <w:topLinePunct w:val="0"/>
        <w:autoSpaceDE/>
        <w:autoSpaceDN/>
        <w:bidi w:val="0"/>
        <w:adjustRightInd/>
        <w:snapToGrid/>
        <w:spacing w:before="157" w:beforeLines="50" w:after="157" w:afterLines="50"/>
        <w:ind w:firstLine="641"/>
        <w:textAlignment w:val="auto"/>
        <w:rPr>
          <w:rFonts w:hint="eastAsia" w:ascii="仿宋_GB2312" w:hAnsi="楷体" w:eastAsia="仿宋_GB2312" w:cs="Times New Roman"/>
          <w:kern w:val="2"/>
          <w:sz w:val="32"/>
          <w:szCs w:val="32"/>
          <w:lang w:val="en-US" w:eastAsia="zh-CN" w:bidi="ar-SA"/>
        </w:rPr>
      </w:pPr>
      <w:r>
        <w:rPr>
          <w:rFonts w:hint="eastAsia" w:ascii="Times New Roman" w:hAnsi="Times New Roman" w:eastAsia="楷体_GB2312" w:cs="Times New Roman"/>
          <w:b/>
          <w:bCs/>
          <w:sz w:val="32"/>
          <w:szCs w:val="32"/>
          <w:highlight w:val="none"/>
          <w:lang w:val="en-US" w:eastAsia="zh-CN"/>
        </w:rPr>
        <w:t>指南意图：</w:t>
      </w:r>
      <w:r>
        <w:rPr>
          <w:rFonts w:hint="eastAsia" w:ascii="仿宋_GB2312" w:hAnsi="楷体" w:eastAsia="仿宋_GB2312" w:cs="Times New Roman"/>
          <w:kern w:val="2"/>
          <w:sz w:val="32"/>
          <w:szCs w:val="32"/>
          <w:lang w:val="en-US" w:eastAsia="zh-CN" w:bidi="ar-SA"/>
        </w:rPr>
        <w:t>（1）研究</w:t>
      </w:r>
      <w:r>
        <w:rPr>
          <w:rFonts w:hint="eastAsia" w:ascii="仿宋_GB2312" w:hAnsi="楷体" w:eastAsia="仿宋_GB2312" w:cs="Times New Roman"/>
          <w:kern w:val="2"/>
          <w:sz w:val="32"/>
          <w:szCs w:val="32"/>
          <w:lang w:val="en-US" w:eastAsia="zh-Hans" w:bidi="ar-SA"/>
        </w:rPr>
        <w:t>低质量学历学位的认定以及现有的法律基础</w:t>
      </w:r>
      <w:r>
        <w:rPr>
          <w:rFonts w:hint="eastAsia" w:ascii="仿宋_GB2312" w:hAnsi="楷体" w:eastAsia="仿宋_GB2312" w:cs="Times New Roman"/>
          <w:kern w:val="2"/>
          <w:sz w:val="32"/>
          <w:szCs w:val="32"/>
          <w:lang w:val="en-US" w:eastAsia="zh-CN" w:bidi="ar-SA"/>
        </w:rPr>
        <w:t>；（2）</w:t>
      </w:r>
      <w:r>
        <w:rPr>
          <w:rFonts w:hint="eastAsia" w:ascii="仿宋_GB2312" w:hAnsi="楷体" w:eastAsia="仿宋_GB2312" w:cs="Times New Roman"/>
          <w:kern w:val="2"/>
          <w:sz w:val="32"/>
          <w:szCs w:val="32"/>
          <w:lang w:val="en-US" w:eastAsia="zh-Hans" w:bidi="ar-SA"/>
        </w:rPr>
        <w:t>分析</w:t>
      </w:r>
      <w:r>
        <w:rPr>
          <w:rFonts w:hint="eastAsia" w:ascii="仿宋_GB2312" w:hAnsi="楷体" w:eastAsia="仿宋_GB2312" w:cs="Times New Roman"/>
          <w:kern w:val="2"/>
          <w:sz w:val="32"/>
          <w:szCs w:val="32"/>
          <w:lang w:val="en-US" w:eastAsia="zh-CN" w:bidi="ar-SA"/>
        </w:rPr>
        <w:t>低质量文凭课程</w:t>
      </w:r>
      <w:r>
        <w:rPr>
          <w:rFonts w:hint="eastAsia" w:ascii="仿宋_GB2312" w:hAnsi="楷体" w:eastAsia="仿宋_GB2312" w:cs="Times New Roman"/>
          <w:kern w:val="2"/>
          <w:sz w:val="32"/>
          <w:szCs w:val="32"/>
          <w:lang w:val="en-US" w:eastAsia="zh-Hans" w:bidi="ar-SA"/>
        </w:rPr>
        <w:t>治理的现状及存在的问题</w:t>
      </w:r>
      <w:r>
        <w:rPr>
          <w:rFonts w:hint="eastAsia" w:ascii="仿宋_GB2312" w:hAnsi="楷体" w:eastAsia="仿宋_GB2312" w:cs="Times New Roman"/>
          <w:kern w:val="2"/>
          <w:sz w:val="32"/>
          <w:szCs w:val="32"/>
          <w:lang w:val="en-US" w:eastAsia="zh-CN" w:bidi="ar-SA"/>
        </w:rPr>
        <w:t>；（3）研究</w:t>
      </w:r>
      <w:r>
        <w:rPr>
          <w:rFonts w:hint="eastAsia" w:ascii="仿宋_GB2312" w:hAnsi="楷体" w:eastAsia="仿宋_GB2312" w:cs="Times New Roman"/>
          <w:b w:val="0"/>
          <w:bCs w:val="0"/>
          <w:sz w:val="32"/>
          <w:szCs w:val="32"/>
          <w:highlight w:val="none"/>
          <w:lang w:val="en-US" w:eastAsia="zh-Hans"/>
        </w:rPr>
        <w:t>低质量学位学历的</w:t>
      </w:r>
      <w:r>
        <w:rPr>
          <w:rFonts w:hint="eastAsia" w:ascii="仿宋_GB2312" w:hAnsi="楷体" w:eastAsia="仿宋_GB2312" w:cs="Times New Roman"/>
          <w:kern w:val="2"/>
          <w:sz w:val="32"/>
          <w:szCs w:val="32"/>
          <w:lang w:val="en-US" w:eastAsia="zh-Hans" w:bidi="ar-SA"/>
        </w:rPr>
        <w:t>国外治理经验</w:t>
      </w:r>
      <w:r>
        <w:rPr>
          <w:rFonts w:hint="eastAsia" w:ascii="仿宋_GB2312" w:hAnsi="楷体" w:eastAsia="仿宋_GB2312" w:cs="Times New Roman"/>
          <w:kern w:val="2"/>
          <w:sz w:val="32"/>
          <w:szCs w:val="32"/>
          <w:lang w:val="en-US" w:eastAsia="zh-CN" w:bidi="ar-SA"/>
        </w:rPr>
        <w:t>；（4）提出完善低质文凭课程从识别、考察、认证建议、综合治理到风险化解的全链条工作机制和相关法律的建议。</w:t>
      </w:r>
    </w:p>
    <w:p w14:paraId="188E8537">
      <w:pPr>
        <w:ind w:firstLine="640"/>
        <w:rPr>
          <w:rFonts w:ascii="Times New Roman" w:hAnsi="Times New Roman"/>
          <w:b/>
          <w:bCs/>
        </w:rPr>
      </w:pPr>
      <w:r>
        <w:rPr>
          <w:rFonts w:hint="eastAsia" w:ascii="Times New Roman" w:hAnsi="Times New Roman" w:eastAsia="楷体_GB2312" w:cs="Times New Roman"/>
          <w:b/>
          <w:bCs/>
          <w:sz w:val="32"/>
          <w:szCs w:val="32"/>
          <w:highlight w:val="none"/>
          <w:lang w:val="en-US" w:eastAsia="zh-CN"/>
        </w:rPr>
        <w:t>23. 国外学位认证的法律基础研究（培育）</w:t>
      </w:r>
    </w:p>
    <w:p w14:paraId="6E308CF7">
      <w:pPr>
        <w:keepNext w:val="0"/>
        <w:keepLines w:val="0"/>
        <w:pageBreakBefore w:val="0"/>
        <w:widowControl w:val="0"/>
        <w:kinsoku/>
        <w:wordWrap/>
        <w:overflowPunct/>
        <w:topLinePunct w:val="0"/>
        <w:autoSpaceDE/>
        <w:autoSpaceDN/>
        <w:bidi w:val="0"/>
        <w:adjustRightInd/>
        <w:snapToGrid/>
        <w:spacing w:before="157" w:beforeLines="50" w:after="157" w:afterLines="50"/>
        <w:ind w:firstLine="641"/>
        <w:textAlignment w:val="auto"/>
        <w:rPr>
          <w:rFonts w:hint="eastAsia" w:ascii="仿宋_GB2312" w:hAnsi="楷体" w:eastAsia="仿宋_GB2312" w:cs="Times New Roman"/>
          <w:kern w:val="2"/>
          <w:sz w:val="32"/>
          <w:szCs w:val="32"/>
          <w:lang w:val="en-US" w:eastAsia="zh-CN" w:bidi="ar-SA"/>
        </w:rPr>
      </w:pPr>
      <w:r>
        <w:rPr>
          <w:rFonts w:hint="eastAsia" w:ascii="Times New Roman" w:hAnsi="Times New Roman" w:eastAsia="楷体_GB2312" w:cs="Times New Roman"/>
          <w:b/>
          <w:bCs/>
          <w:sz w:val="32"/>
          <w:szCs w:val="32"/>
          <w:highlight w:val="none"/>
          <w:lang w:val="en-US" w:eastAsia="zh-CN"/>
        </w:rPr>
        <w:t>指南意图：</w:t>
      </w:r>
      <w:r>
        <w:rPr>
          <w:rFonts w:hint="eastAsia" w:ascii="仿宋_GB2312" w:hAnsi="楷体" w:eastAsia="仿宋_GB2312" w:cs="Times New Roman"/>
          <w:kern w:val="2"/>
          <w:sz w:val="32"/>
          <w:szCs w:val="32"/>
          <w:lang w:val="en-US" w:eastAsia="zh-CN" w:bidi="ar-SA"/>
        </w:rPr>
        <w:t>（1）梳理学历学位认证工作涉及的国内外法律法规、部门规章以及规范性文件的法律依据和法律框架；（2）分析各层级法律规范在学位认证中的适用范围和具体作用；（3）剖析现有法律基础存在的问题；（4）提出完善学位认证的法律和制度建设建议。</w:t>
      </w:r>
    </w:p>
    <w:p w14:paraId="0C576BBB">
      <w:pPr>
        <w:ind w:firstLine="640"/>
        <w:rPr>
          <w:rFonts w:hint="eastAsia" w:ascii="Times New Roman" w:hAnsi="Times New Roman" w:eastAsia="楷体_GB2312" w:cs="Times New Roman"/>
          <w:b/>
          <w:bCs/>
          <w:sz w:val="32"/>
          <w:szCs w:val="32"/>
          <w:highlight w:val="none"/>
          <w:lang w:val="en-US" w:eastAsia="zh-CN"/>
        </w:rPr>
      </w:pPr>
      <w:r>
        <w:rPr>
          <w:rFonts w:hint="eastAsia" w:ascii="Times New Roman" w:hAnsi="Times New Roman" w:eastAsia="楷体_GB2312" w:cs="Times New Roman"/>
          <w:b/>
          <w:bCs/>
          <w:sz w:val="32"/>
          <w:szCs w:val="32"/>
          <w:highlight w:val="none"/>
          <w:lang w:val="en-US" w:eastAsia="zh-CN"/>
        </w:rPr>
        <w:t>24. 外籍教师聘任管理研究（培育）</w:t>
      </w:r>
    </w:p>
    <w:p w14:paraId="644D4056">
      <w:pPr>
        <w:numPr>
          <w:ilvl w:val="0"/>
          <w:numId w:val="0"/>
        </w:numPr>
        <w:spacing w:line="560" w:lineRule="exact"/>
        <w:ind w:firstLine="643" w:firstLineChars="200"/>
        <w:rPr>
          <w:rFonts w:hint="default" w:ascii="Times New Roman" w:hAnsi="Times New Roman" w:eastAsia="楷体_GB2312" w:cs="Times New Roman"/>
          <w:b w:val="0"/>
          <w:bCs w:val="0"/>
          <w:sz w:val="32"/>
          <w:szCs w:val="32"/>
          <w:highlight w:val="none"/>
          <w:lang w:val="en-US" w:eastAsia="zh-CN"/>
        </w:rPr>
      </w:pPr>
      <w:r>
        <w:rPr>
          <w:rFonts w:hint="eastAsia" w:ascii="Times New Roman" w:hAnsi="Times New Roman" w:eastAsia="仿宋_GB2312" w:cs="仿宋_GB2312"/>
          <w:b/>
          <w:bCs/>
          <w:sz w:val="32"/>
          <w:szCs w:val="32"/>
          <w:highlight w:val="none"/>
        </w:rPr>
        <w:t>指南意图：</w:t>
      </w:r>
      <w:r>
        <w:rPr>
          <w:rFonts w:hint="eastAsia" w:ascii="Times New Roman" w:hAnsi="Times New Roman" w:eastAsia="仿宋_GB2312" w:cs="仿宋_GB2312"/>
          <w:b w:val="0"/>
          <w:bCs w:val="0"/>
          <w:sz w:val="32"/>
          <w:szCs w:val="32"/>
          <w:highlight w:val="none"/>
        </w:rPr>
        <w:t>（1）分析我国引进外籍教师的战略意义和实际需求</w:t>
      </w:r>
      <w:r>
        <w:rPr>
          <w:rFonts w:hint="eastAsia" w:ascii="Times New Roman" w:hAnsi="Times New Roman" w:eastAsia="仿宋_GB2312" w:cs="仿宋_GB2312"/>
          <w:b w:val="0"/>
          <w:bCs w:val="0"/>
          <w:sz w:val="32"/>
          <w:szCs w:val="32"/>
          <w:highlight w:val="none"/>
          <w:lang w:eastAsia="zh-CN"/>
        </w:rPr>
        <w:t>；</w:t>
      </w:r>
      <w:r>
        <w:rPr>
          <w:rFonts w:hint="eastAsia" w:ascii="Times New Roman" w:hAnsi="Times New Roman" w:eastAsia="仿宋_GB2312" w:cs="仿宋_GB2312"/>
          <w:b w:val="0"/>
          <w:bCs w:val="0"/>
          <w:sz w:val="32"/>
          <w:szCs w:val="32"/>
          <w:highlight w:val="none"/>
        </w:rPr>
        <w:t>（</w:t>
      </w:r>
      <w:r>
        <w:rPr>
          <w:rFonts w:hint="eastAsia" w:ascii="Times New Roman" w:hAnsi="Times New Roman" w:eastAsia="仿宋_GB2312" w:cs="仿宋_GB2312"/>
          <w:b w:val="0"/>
          <w:bCs w:val="0"/>
          <w:sz w:val="32"/>
          <w:szCs w:val="32"/>
          <w:highlight w:val="none"/>
          <w:lang w:val="en-US" w:eastAsia="zh-CN"/>
        </w:rPr>
        <w:t>2</w:t>
      </w:r>
      <w:r>
        <w:rPr>
          <w:rFonts w:hint="eastAsia" w:ascii="Times New Roman" w:hAnsi="Times New Roman" w:eastAsia="仿宋_GB2312" w:cs="仿宋_GB2312"/>
          <w:b w:val="0"/>
          <w:bCs w:val="0"/>
          <w:sz w:val="32"/>
          <w:szCs w:val="32"/>
          <w:highlight w:val="none"/>
        </w:rPr>
        <w:t>）研究大中小学外籍教师教育教学专业资质审核法律依据、审核要点及流程</w:t>
      </w:r>
      <w:r>
        <w:rPr>
          <w:rFonts w:hint="eastAsia" w:ascii="Times New Roman" w:hAnsi="Times New Roman" w:eastAsia="仿宋_GB2312" w:cs="仿宋_GB2312"/>
          <w:b w:val="0"/>
          <w:bCs w:val="0"/>
          <w:sz w:val="32"/>
          <w:szCs w:val="32"/>
          <w:highlight w:val="none"/>
          <w:lang w:eastAsia="zh-CN"/>
        </w:rPr>
        <w:t>；（</w:t>
      </w:r>
      <w:r>
        <w:rPr>
          <w:rFonts w:hint="eastAsia" w:ascii="Times New Roman" w:hAnsi="Times New Roman" w:eastAsia="仿宋_GB2312" w:cs="仿宋_GB2312"/>
          <w:b w:val="0"/>
          <w:bCs w:val="0"/>
          <w:sz w:val="32"/>
          <w:szCs w:val="32"/>
          <w:highlight w:val="none"/>
          <w:lang w:val="en-US" w:eastAsia="zh-CN"/>
        </w:rPr>
        <w:t>3</w:t>
      </w:r>
      <w:r>
        <w:rPr>
          <w:rFonts w:hint="eastAsia" w:ascii="Times New Roman" w:hAnsi="Times New Roman" w:eastAsia="仿宋_GB2312" w:cs="仿宋_GB2312"/>
          <w:b w:val="0"/>
          <w:bCs w:val="0"/>
          <w:sz w:val="32"/>
          <w:szCs w:val="32"/>
          <w:highlight w:val="none"/>
          <w:lang w:eastAsia="zh-CN"/>
        </w:rPr>
        <w:t>）</w:t>
      </w:r>
      <w:r>
        <w:rPr>
          <w:rFonts w:hint="eastAsia" w:ascii="Times New Roman" w:hAnsi="Times New Roman" w:eastAsia="仿宋_GB2312" w:cs="仿宋_GB2312"/>
          <w:b w:val="0"/>
          <w:bCs w:val="0"/>
          <w:sz w:val="32"/>
          <w:szCs w:val="32"/>
          <w:highlight w:val="none"/>
        </w:rPr>
        <w:t>提出高水平外籍教师引进渠道、STEM学科及语言类教师</w:t>
      </w:r>
      <w:r>
        <w:rPr>
          <w:rFonts w:hint="eastAsia" w:ascii="Times New Roman" w:hAnsi="Times New Roman" w:eastAsia="仿宋_GB2312" w:cs="仿宋_GB2312"/>
          <w:b w:val="0"/>
          <w:bCs w:val="0"/>
          <w:sz w:val="32"/>
          <w:szCs w:val="32"/>
          <w:highlight w:val="none"/>
          <w:lang w:eastAsia="zh-CN"/>
        </w:rPr>
        <w:t>引进</w:t>
      </w:r>
      <w:r>
        <w:rPr>
          <w:rFonts w:hint="eastAsia" w:ascii="Times New Roman" w:hAnsi="Times New Roman" w:eastAsia="仿宋_GB2312" w:cs="仿宋_GB2312"/>
          <w:b w:val="0"/>
          <w:bCs w:val="0"/>
          <w:sz w:val="32"/>
          <w:szCs w:val="32"/>
          <w:highlight w:val="none"/>
        </w:rPr>
        <w:t>布局</w:t>
      </w:r>
      <w:r>
        <w:rPr>
          <w:rFonts w:hint="eastAsia" w:ascii="Times New Roman" w:hAnsi="Times New Roman" w:eastAsia="仿宋_GB2312" w:cs="仿宋_GB2312"/>
          <w:b w:val="0"/>
          <w:bCs w:val="0"/>
          <w:sz w:val="32"/>
          <w:szCs w:val="32"/>
          <w:highlight w:val="none"/>
          <w:lang w:eastAsia="zh-CN"/>
        </w:rPr>
        <w:t>的</w:t>
      </w:r>
      <w:r>
        <w:rPr>
          <w:rFonts w:hint="eastAsia" w:ascii="Times New Roman" w:hAnsi="Times New Roman" w:eastAsia="仿宋_GB2312" w:cs="仿宋_GB2312"/>
          <w:b w:val="0"/>
          <w:bCs w:val="0"/>
          <w:sz w:val="32"/>
          <w:szCs w:val="32"/>
          <w:highlight w:val="none"/>
        </w:rPr>
        <w:t>建议。</w:t>
      </w:r>
    </w:p>
    <w:sectPr>
      <w:footerReference r:id="rId3" w:type="default"/>
      <w:pgSz w:w="11906" w:h="16838"/>
      <w:pgMar w:top="2098" w:right="1587"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E713E">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CD7773">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2CD7773">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OTVkN2ZmMjVjM2EzNTY4MWNhM2I2OGZkMjAyOTMifQ=="/>
    <w:docVar w:name="KSO_WPS_MARK_KEY" w:val="faf408fd-6399-4858-9638-f35feb32f65a"/>
  </w:docVars>
  <w:rsids>
    <w:rsidRoot w:val="03D015D7"/>
    <w:rsid w:val="00133C34"/>
    <w:rsid w:val="00390229"/>
    <w:rsid w:val="009F5CBD"/>
    <w:rsid w:val="01632467"/>
    <w:rsid w:val="0191344F"/>
    <w:rsid w:val="032338E1"/>
    <w:rsid w:val="0331750E"/>
    <w:rsid w:val="03396A63"/>
    <w:rsid w:val="037934F5"/>
    <w:rsid w:val="03D015D7"/>
    <w:rsid w:val="048E122E"/>
    <w:rsid w:val="04B22E52"/>
    <w:rsid w:val="04CE1F73"/>
    <w:rsid w:val="05A1556C"/>
    <w:rsid w:val="05BA479A"/>
    <w:rsid w:val="064F71A2"/>
    <w:rsid w:val="081C26F5"/>
    <w:rsid w:val="08563242"/>
    <w:rsid w:val="08A2799E"/>
    <w:rsid w:val="08F8781E"/>
    <w:rsid w:val="09202931"/>
    <w:rsid w:val="0AAD5BA8"/>
    <w:rsid w:val="0B047EA8"/>
    <w:rsid w:val="0B130875"/>
    <w:rsid w:val="0C1441E7"/>
    <w:rsid w:val="0C2D57D1"/>
    <w:rsid w:val="0C4C7A75"/>
    <w:rsid w:val="0CBB4B8B"/>
    <w:rsid w:val="0D2441ED"/>
    <w:rsid w:val="0D304DED"/>
    <w:rsid w:val="0E535F95"/>
    <w:rsid w:val="0E73023A"/>
    <w:rsid w:val="0EED5CC8"/>
    <w:rsid w:val="0F16122F"/>
    <w:rsid w:val="0FEE5277"/>
    <w:rsid w:val="10482BD9"/>
    <w:rsid w:val="104A6F90"/>
    <w:rsid w:val="105608E0"/>
    <w:rsid w:val="10615A49"/>
    <w:rsid w:val="11335B4B"/>
    <w:rsid w:val="1157426E"/>
    <w:rsid w:val="11787A1C"/>
    <w:rsid w:val="11877731"/>
    <w:rsid w:val="122D5680"/>
    <w:rsid w:val="12971B2C"/>
    <w:rsid w:val="136D227B"/>
    <w:rsid w:val="14C77D01"/>
    <w:rsid w:val="14CB179A"/>
    <w:rsid w:val="1660561E"/>
    <w:rsid w:val="166A3BE5"/>
    <w:rsid w:val="172265D6"/>
    <w:rsid w:val="172779EC"/>
    <w:rsid w:val="17984446"/>
    <w:rsid w:val="17D82A97"/>
    <w:rsid w:val="1A6A5E64"/>
    <w:rsid w:val="1B7E6450"/>
    <w:rsid w:val="1BAC4A41"/>
    <w:rsid w:val="1BED2887"/>
    <w:rsid w:val="1D081BC3"/>
    <w:rsid w:val="1D554B87"/>
    <w:rsid w:val="1E0F552D"/>
    <w:rsid w:val="1E360515"/>
    <w:rsid w:val="1E7563B6"/>
    <w:rsid w:val="1F026E1F"/>
    <w:rsid w:val="1F3E65C2"/>
    <w:rsid w:val="1FF3184D"/>
    <w:rsid w:val="1FF97C68"/>
    <w:rsid w:val="200946E1"/>
    <w:rsid w:val="201D6D3F"/>
    <w:rsid w:val="2026550C"/>
    <w:rsid w:val="20637954"/>
    <w:rsid w:val="21857FA4"/>
    <w:rsid w:val="21A47E8B"/>
    <w:rsid w:val="22356D36"/>
    <w:rsid w:val="22610049"/>
    <w:rsid w:val="23561BF1"/>
    <w:rsid w:val="239451DD"/>
    <w:rsid w:val="239C3530"/>
    <w:rsid w:val="24C70119"/>
    <w:rsid w:val="25037F84"/>
    <w:rsid w:val="25253091"/>
    <w:rsid w:val="252738F3"/>
    <w:rsid w:val="25AB3597"/>
    <w:rsid w:val="26143832"/>
    <w:rsid w:val="269A7D3A"/>
    <w:rsid w:val="271D4196"/>
    <w:rsid w:val="273D0B66"/>
    <w:rsid w:val="27AF693F"/>
    <w:rsid w:val="283552A1"/>
    <w:rsid w:val="285C1013"/>
    <w:rsid w:val="289F6F98"/>
    <w:rsid w:val="28F23F5F"/>
    <w:rsid w:val="28F434A6"/>
    <w:rsid w:val="2920604A"/>
    <w:rsid w:val="29C25353"/>
    <w:rsid w:val="29E96D83"/>
    <w:rsid w:val="29FD45DD"/>
    <w:rsid w:val="2A2D6E1E"/>
    <w:rsid w:val="2A3D5E4C"/>
    <w:rsid w:val="2A6E4940"/>
    <w:rsid w:val="2A913648"/>
    <w:rsid w:val="2AF06A42"/>
    <w:rsid w:val="2BBB7D74"/>
    <w:rsid w:val="2BC35AA3"/>
    <w:rsid w:val="2DC30DFC"/>
    <w:rsid w:val="2E1343CF"/>
    <w:rsid w:val="2E552C39"/>
    <w:rsid w:val="2F064378"/>
    <w:rsid w:val="2F950E14"/>
    <w:rsid w:val="3006698C"/>
    <w:rsid w:val="301B498B"/>
    <w:rsid w:val="30514F89"/>
    <w:rsid w:val="30A47C65"/>
    <w:rsid w:val="30D872A8"/>
    <w:rsid w:val="339B21DC"/>
    <w:rsid w:val="34785525"/>
    <w:rsid w:val="35A308C5"/>
    <w:rsid w:val="36407D2B"/>
    <w:rsid w:val="366C0B20"/>
    <w:rsid w:val="36975B9F"/>
    <w:rsid w:val="36C35588"/>
    <w:rsid w:val="36E27034"/>
    <w:rsid w:val="3720190B"/>
    <w:rsid w:val="38034BC1"/>
    <w:rsid w:val="398D6C3F"/>
    <w:rsid w:val="3A303A2C"/>
    <w:rsid w:val="3A9D7939"/>
    <w:rsid w:val="3B2319C9"/>
    <w:rsid w:val="3BF910A8"/>
    <w:rsid w:val="3C65673D"/>
    <w:rsid w:val="3CA7495E"/>
    <w:rsid w:val="3CEF368A"/>
    <w:rsid w:val="3D163594"/>
    <w:rsid w:val="3DB827A5"/>
    <w:rsid w:val="3DD703CA"/>
    <w:rsid w:val="3F233462"/>
    <w:rsid w:val="3F756DAC"/>
    <w:rsid w:val="4016694D"/>
    <w:rsid w:val="41423F92"/>
    <w:rsid w:val="41603E0D"/>
    <w:rsid w:val="418D3D1B"/>
    <w:rsid w:val="429B36D7"/>
    <w:rsid w:val="438B387E"/>
    <w:rsid w:val="43C71D26"/>
    <w:rsid w:val="456450B8"/>
    <w:rsid w:val="45967305"/>
    <w:rsid w:val="4635022C"/>
    <w:rsid w:val="46DD1AFD"/>
    <w:rsid w:val="472B7227"/>
    <w:rsid w:val="47AF2F63"/>
    <w:rsid w:val="47B2035D"/>
    <w:rsid w:val="4859366D"/>
    <w:rsid w:val="486616A1"/>
    <w:rsid w:val="48AE6D76"/>
    <w:rsid w:val="48D83E70"/>
    <w:rsid w:val="49156DF5"/>
    <w:rsid w:val="498C182D"/>
    <w:rsid w:val="4A9E5F51"/>
    <w:rsid w:val="4ADD6D8E"/>
    <w:rsid w:val="4ADE012D"/>
    <w:rsid w:val="4B907038"/>
    <w:rsid w:val="4BD61EF6"/>
    <w:rsid w:val="4D3F4D77"/>
    <w:rsid w:val="4D562F24"/>
    <w:rsid w:val="4E8D742E"/>
    <w:rsid w:val="4F3616B6"/>
    <w:rsid w:val="4FFD16DF"/>
    <w:rsid w:val="50266F8B"/>
    <w:rsid w:val="51166C6F"/>
    <w:rsid w:val="514C521A"/>
    <w:rsid w:val="51776E50"/>
    <w:rsid w:val="51B827F6"/>
    <w:rsid w:val="51B86EB8"/>
    <w:rsid w:val="51EB22FE"/>
    <w:rsid w:val="51FE7753"/>
    <w:rsid w:val="52477B70"/>
    <w:rsid w:val="53C438F2"/>
    <w:rsid w:val="544E5189"/>
    <w:rsid w:val="55C67DF5"/>
    <w:rsid w:val="55DD5EA6"/>
    <w:rsid w:val="5609223F"/>
    <w:rsid w:val="56424FCF"/>
    <w:rsid w:val="56427760"/>
    <w:rsid w:val="56AB0A44"/>
    <w:rsid w:val="56E04EE6"/>
    <w:rsid w:val="57517B92"/>
    <w:rsid w:val="575A2CBD"/>
    <w:rsid w:val="57DE4296"/>
    <w:rsid w:val="58204665"/>
    <w:rsid w:val="58E80082"/>
    <w:rsid w:val="5954396A"/>
    <w:rsid w:val="59E0763D"/>
    <w:rsid w:val="5A786F30"/>
    <w:rsid w:val="5A950149"/>
    <w:rsid w:val="5AF977CE"/>
    <w:rsid w:val="5B6B556E"/>
    <w:rsid w:val="5BE508A9"/>
    <w:rsid w:val="5BED775E"/>
    <w:rsid w:val="5C171A25"/>
    <w:rsid w:val="5C245818"/>
    <w:rsid w:val="5C4F0894"/>
    <w:rsid w:val="5D015043"/>
    <w:rsid w:val="5E511C49"/>
    <w:rsid w:val="5E9F72A7"/>
    <w:rsid w:val="5EBD5F93"/>
    <w:rsid w:val="5F061196"/>
    <w:rsid w:val="5FB44474"/>
    <w:rsid w:val="6032369E"/>
    <w:rsid w:val="609307D2"/>
    <w:rsid w:val="60C90403"/>
    <w:rsid w:val="611759A9"/>
    <w:rsid w:val="612322FC"/>
    <w:rsid w:val="61392128"/>
    <w:rsid w:val="61865F80"/>
    <w:rsid w:val="61F061FA"/>
    <w:rsid w:val="62155EEF"/>
    <w:rsid w:val="630735F9"/>
    <w:rsid w:val="639037F0"/>
    <w:rsid w:val="63E659D1"/>
    <w:rsid w:val="6497439E"/>
    <w:rsid w:val="64B01871"/>
    <w:rsid w:val="65261D9A"/>
    <w:rsid w:val="66487C70"/>
    <w:rsid w:val="6669039A"/>
    <w:rsid w:val="675D0152"/>
    <w:rsid w:val="683756F1"/>
    <w:rsid w:val="68CF47B6"/>
    <w:rsid w:val="692C4915"/>
    <w:rsid w:val="699A3F04"/>
    <w:rsid w:val="69B60103"/>
    <w:rsid w:val="69DD6E91"/>
    <w:rsid w:val="6B2A419E"/>
    <w:rsid w:val="6B31008D"/>
    <w:rsid w:val="6B4078AA"/>
    <w:rsid w:val="6B833D75"/>
    <w:rsid w:val="6D6B0A08"/>
    <w:rsid w:val="6E030AA0"/>
    <w:rsid w:val="6EEF1FAD"/>
    <w:rsid w:val="6F7B50B7"/>
    <w:rsid w:val="6F8E6454"/>
    <w:rsid w:val="701B0142"/>
    <w:rsid w:val="72894069"/>
    <w:rsid w:val="733817AF"/>
    <w:rsid w:val="73512F62"/>
    <w:rsid w:val="735B2516"/>
    <w:rsid w:val="74480466"/>
    <w:rsid w:val="74FE2AA8"/>
    <w:rsid w:val="76116A13"/>
    <w:rsid w:val="76392208"/>
    <w:rsid w:val="76F8372F"/>
    <w:rsid w:val="775572CE"/>
    <w:rsid w:val="78586402"/>
    <w:rsid w:val="786646C4"/>
    <w:rsid w:val="78A02850"/>
    <w:rsid w:val="791A1778"/>
    <w:rsid w:val="7DFD6736"/>
    <w:rsid w:val="7EE461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center"/>
      <w:outlineLvl w:val="0"/>
    </w:pPr>
    <w:rPr>
      <w:rFonts w:hint="eastAsia" w:ascii="宋体" w:hAnsi="宋体" w:eastAsia="方正小标宋简体" w:cs="宋体"/>
      <w:b/>
      <w:bCs/>
      <w:kern w:val="44"/>
      <w:sz w:val="36"/>
      <w:szCs w:val="48"/>
      <w:lang w:bidi="ar"/>
    </w:rPr>
  </w:style>
  <w:style w:type="paragraph" w:styleId="3">
    <w:name w:val="heading 2"/>
    <w:basedOn w:val="1"/>
    <w:next w:val="1"/>
    <w:semiHidden/>
    <w:unhideWhenUsed/>
    <w:qFormat/>
    <w:uiPriority w:val="0"/>
    <w:pPr>
      <w:keepNext/>
      <w:keepLines/>
      <w:adjustRightInd w:val="0"/>
      <w:snapToGrid w:val="0"/>
      <w:spacing w:beforeLines="0" w:beforeAutospacing="0" w:afterLines="0" w:afterAutospacing="0" w:line="360" w:lineRule="auto"/>
      <w:ind w:firstLine="640" w:firstLineChars="200"/>
      <w:jc w:val="left"/>
      <w:outlineLvl w:val="1"/>
    </w:pPr>
    <w:rPr>
      <w:rFonts w:ascii="Arial" w:hAnsi="Arial" w:eastAsia="黑体" w:cstheme="minorBidi"/>
      <w:sz w:val="32"/>
    </w:rPr>
  </w:style>
  <w:style w:type="paragraph" w:styleId="4">
    <w:name w:val="heading 3"/>
    <w:basedOn w:val="1"/>
    <w:next w:val="1"/>
    <w:semiHidden/>
    <w:unhideWhenUsed/>
    <w:qFormat/>
    <w:uiPriority w:val="0"/>
    <w:pPr>
      <w:adjustRightInd w:val="0"/>
      <w:snapToGrid w:val="0"/>
      <w:spacing w:before="0" w:beforeAutospacing="0" w:after="0" w:afterAutospacing="0" w:line="360" w:lineRule="auto"/>
      <w:ind w:firstLine="640" w:firstLineChars="200"/>
      <w:jc w:val="left"/>
      <w:outlineLvl w:val="2"/>
    </w:pPr>
    <w:rPr>
      <w:rFonts w:hint="eastAsia" w:ascii="宋体" w:hAnsi="宋体" w:eastAsia="楷体_GB2312" w:cs="宋体"/>
      <w:b/>
      <w:bCs/>
      <w:kern w:val="0"/>
      <w:sz w:val="32"/>
      <w:szCs w:val="27"/>
      <w:lang w:bidi="ar"/>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qFormat/>
    <w:uiPriority w:val="0"/>
    <w:pPr>
      <w:spacing w:after="120" w:afterLines="0" w:afterAutospacing="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3685</Words>
  <Characters>3732</Characters>
  <Lines>0</Lines>
  <Paragraphs>0</Paragraphs>
  <TotalTime>2</TotalTime>
  <ScaleCrop>false</ScaleCrop>
  <LinksUpToDate>false</LinksUpToDate>
  <CharactersWithSpaces>3755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2025-02-24T10:17:00Z</dcterms:created>
  <dc:creator>陈冀然</dc:creator>
  <cp:lastModifiedBy>王晓宇</cp:lastModifiedBy>
  <cp:lastPrinted>2025-04-15T01:00:00Z</cp:lastPrinted>
  <dcterms:modified xsi:type="dcterms:W3CDTF">2025-05-06T09:07:08Z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3A7AE92626B141EF9F725C6D6A765DE2</vt:lpwstr>
  </property>
  <property fmtid="{D5CDD505-2E9C-101B-9397-08002B2CF9AE}" pid="4" name="KSOTemplateDocerSaveRecord">
    <vt:lpwstr>eyJoZGlkIjoiMDM0YzE2ZjgyMDA2ZTgxZmE2MmE5ZGM0Yzk4ZTg4MDEiLCJ1c2VySWQiOiIyNzUyMzg1MjEifQ==</vt:lpwstr>
  </property>
</Properties>
</file>