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981BE">
      <w:pPr>
        <w:spacing w:beforeLines="50" w:afterLines="50"/>
        <w:ind w:left="904" w:hanging="904" w:hangingChars="250"/>
        <w:jc w:val="center"/>
        <w:rPr>
          <w:rFonts w:asciiTheme="majorEastAsia" w:hAnsiTheme="majorEastAsia" w:eastAsiaTheme="majorEastAsia" w:cstheme="majorEastAsia"/>
          <w:b/>
          <w:color w:val="000000" w:themeColor="text1"/>
          <w:sz w:val="36"/>
          <w:szCs w:val="36"/>
        </w:rPr>
      </w:pPr>
      <w:bookmarkStart w:id="0" w:name="OLE_LINK53"/>
      <w:bookmarkStart w:id="1" w:name="OLE_LINK52"/>
      <w:bookmarkStart w:id="2" w:name="OLE_LINK18"/>
      <w:bookmarkStart w:id="3" w:name="OLE_LINK17"/>
      <w:r>
        <w:rPr>
          <w:rFonts w:hint="eastAsia" w:asciiTheme="majorEastAsia" w:hAnsiTheme="majorEastAsia" w:eastAsiaTheme="majorEastAsia" w:cstheme="majorEastAsia"/>
          <w:b/>
          <w:color w:val="000000" w:themeColor="text1"/>
          <w:sz w:val="36"/>
          <w:szCs w:val="36"/>
        </w:rPr>
        <w:t>广东生态工程职业学院</w:t>
      </w:r>
      <w:bookmarkStart w:id="4" w:name="OLE_LINK3"/>
      <w:bookmarkStart w:id="5" w:name="OLE_LINK4"/>
      <w:r>
        <w:rPr>
          <w:rFonts w:hint="eastAsia" w:asciiTheme="majorEastAsia" w:hAnsiTheme="majorEastAsia" w:eastAsiaTheme="majorEastAsia" w:cstheme="majorEastAsia"/>
          <w:b/>
          <w:color w:val="000000" w:themeColor="text1"/>
          <w:sz w:val="36"/>
          <w:szCs w:val="36"/>
        </w:rPr>
        <w:t>海洋与渔业学院援外培训专业教学资源库平台二期建设采购</w:t>
      </w:r>
      <w:bookmarkEnd w:id="4"/>
      <w:bookmarkEnd w:id="5"/>
      <w:r>
        <w:rPr>
          <w:rFonts w:hint="eastAsia" w:asciiTheme="majorEastAsia" w:hAnsiTheme="majorEastAsia" w:eastAsiaTheme="majorEastAsia" w:cstheme="majorEastAsia"/>
          <w:b/>
          <w:color w:val="000000" w:themeColor="text1"/>
          <w:sz w:val="36"/>
          <w:szCs w:val="36"/>
        </w:rPr>
        <w:t>项目</w:t>
      </w:r>
      <w:bookmarkEnd w:id="0"/>
      <w:bookmarkEnd w:id="1"/>
      <w:r>
        <w:rPr>
          <w:rFonts w:hint="eastAsia" w:asciiTheme="majorEastAsia" w:hAnsiTheme="majorEastAsia" w:eastAsiaTheme="majorEastAsia" w:cstheme="majorEastAsia"/>
          <w:b/>
          <w:color w:val="000000" w:themeColor="text1"/>
          <w:sz w:val="36"/>
          <w:szCs w:val="36"/>
        </w:rPr>
        <w:t>需求书</w:t>
      </w:r>
    </w:p>
    <w:bookmarkEnd w:id="2"/>
    <w:bookmarkEnd w:id="3"/>
    <w:p w14:paraId="37CD2C61">
      <w:pPr>
        <w:spacing w:line="360" w:lineRule="auto"/>
        <w:jc w:val="left"/>
        <w:rPr>
          <w:rFonts w:ascii="宋体" w:hAnsi="宋体" w:eastAsia="宋体" w:cs="宋体"/>
          <w:sz w:val="28"/>
          <w:szCs w:val="28"/>
        </w:rPr>
      </w:pPr>
    </w:p>
    <w:p w14:paraId="0F75FC24">
      <w:pPr>
        <w:pStyle w:val="16"/>
        <w:numPr>
          <w:ilvl w:val="0"/>
          <w:numId w:val="1"/>
        </w:numPr>
        <w:spacing w:line="360" w:lineRule="auto"/>
        <w:ind w:firstLine="562"/>
        <w:jc w:val="left"/>
        <w:rPr>
          <w:rFonts w:ascii="宋体" w:hAnsi="宋体" w:eastAsia="宋体" w:cs="宋体"/>
          <w:sz w:val="28"/>
          <w:szCs w:val="28"/>
        </w:rPr>
      </w:pPr>
      <w:r>
        <w:rPr>
          <w:rFonts w:hint="eastAsia" w:ascii="宋体" w:hAnsi="宋体" w:eastAsia="宋体" w:cs="宋体"/>
          <w:b/>
          <w:bCs w:val="0"/>
          <w:sz w:val="28"/>
          <w:szCs w:val="28"/>
        </w:rPr>
        <w:t>项目名称:</w:t>
      </w:r>
      <w:bookmarkStart w:id="6" w:name="OLE_LINK54"/>
      <w:bookmarkStart w:id="7" w:name="OLE_LINK55"/>
      <w:bookmarkStart w:id="8" w:name="OLE_LINK5"/>
      <w:bookmarkStart w:id="9" w:name="OLE_LINK6"/>
      <w:r>
        <w:rPr>
          <w:rFonts w:hint="eastAsia" w:ascii="宋体" w:hAnsi="宋体" w:eastAsia="宋体" w:cs="宋体"/>
          <w:sz w:val="28"/>
          <w:szCs w:val="28"/>
        </w:rPr>
        <w:t>广东生态工程职业学院</w:t>
      </w:r>
      <w:bookmarkStart w:id="10" w:name="OLE_LINK8"/>
      <w:bookmarkStart w:id="11" w:name="OLE_LINK56"/>
      <w:bookmarkStart w:id="12" w:name="OLE_LINK7"/>
      <w:r>
        <w:rPr>
          <w:rFonts w:hint="eastAsia" w:ascii="宋体" w:hAnsi="宋体" w:eastAsia="宋体" w:cs="宋体"/>
          <w:sz w:val="28"/>
          <w:szCs w:val="28"/>
        </w:rPr>
        <w:t>海洋与渔业学院援外培训专业教学</w:t>
      </w:r>
      <w:bookmarkEnd w:id="6"/>
      <w:bookmarkEnd w:id="7"/>
      <w:bookmarkEnd w:id="10"/>
      <w:bookmarkEnd w:id="11"/>
      <w:bookmarkEnd w:id="12"/>
      <w:bookmarkStart w:id="13" w:name="OLE_LINK57"/>
      <w:bookmarkStart w:id="14" w:name="OLE_LINK58"/>
      <w:bookmarkStart w:id="15" w:name="OLE_LINK9"/>
      <w:bookmarkStart w:id="16" w:name="OLE_LINK10"/>
      <w:r>
        <w:rPr>
          <w:rFonts w:hint="eastAsia" w:ascii="宋体" w:hAnsi="宋体" w:eastAsia="宋体" w:cs="宋体"/>
          <w:sz w:val="28"/>
          <w:szCs w:val="28"/>
        </w:rPr>
        <w:t>资源库平台二期建设采购</w:t>
      </w:r>
      <w:bookmarkEnd w:id="13"/>
      <w:bookmarkEnd w:id="14"/>
      <w:r>
        <w:rPr>
          <w:rFonts w:hint="eastAsia" w:ascii="宋体" w:hAnsi="宋体" w:eastAsia="宋体" w:cs="宋体"/>
          <w:sz w:val="28"/>
          <w:szCs w:val="28"/>
        </w:rPr>
        <w:t>项目</w:t>
      </w:r>
      <w:bookmarkEnd w:id="15"/>
      <w:bookmarkEnd w:id="16"/>
    </w:p>
    <w:bookmarkEnd w:id="8"/>
    <w:bookmarkEnd w:id="9"/>
    <w:p w14:paraId="760F3E9E">
      <w:pPr>
        <w:pStyle w:val="16"/>
        <w:numPr>
          <w:ilvl w:val="0"/>
          <w:numId w:val="1"/>
        </w:numPr>
        <w:spacing w:line="360" w:lineRule="auto"/>
        <w:ind w:firstLine="562"/>
        <w:jc w:val="left"/>
      </w:pPr>
      <w:r>
        <w:rPr>
          <w:rFonts w:hint="eastAsia" w:ascii="宋体" w:hAnsi="宋体" w:eastAsia="宋体" w:cs="宋体"/>
          <w:b/>
          <w:bCs w:val="0"/>
          <w:sz w:val="28"/>
          <w:szCs w:val="28"/>
        </w:rPr>
        <w:t>项目预算：</w:t>
      </w:r>
      <w:r>
        <w:rPr>
          <w:rFonts w:hint="eastAsia" w:ascii="宋体" w:hAnsi="宋体" w:eastAsia="宋体" w:cs="宋体"/>
          <w:sz w:val="28"/>
          <w:szCs w:val="28"/>
        </w:rPr>
        <w:t>98000.00元</w:t>
      </w:r>
    </w:p>
    <w:p w14:paraId="64947C59">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color w:val="000000" w:themeColor="text1"/>
          <w:sz w:val="28"/>
          <w:szCs w:val="28"/>
        </w:rPr>
        <w:t>服务</w:t>
      </w:r>
      <w:r>
        <w:rPr>
          <w:rFonts w:hint="eastAsia" w:ascii="宋体" w:hAnsi="宋体" w:eastAsia="宋体" w:cs="宋体"/>
          <w:b/>
          <w:bCs/>
          <w:sz w:val="28"/>
          <w:szCs w:val="28"/>
        </w:rPr>
        <w:t>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664C26C3">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354E1E06">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14:paraId="7277478B">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3C5E3ABB">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579646D0">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2C10F9A4">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715992D6">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7CE6F113">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14:paraId="54FFB938">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6FB11B1A">
      <w:pPr>
        <w:numPr>
          <w:ilvl w:val="0"/>
          <w:numId w:val="2"/>
        </w:numPr>
        <w:spacing w:line="360" w:lineRule="auto"/>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07E73FD6">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14:paraId="53D77CBD">
      <w:pPr>
        <w:numPr>
          <w:ilvl w:val="0"/>
          <w:numId w:val="2"/>
        </w:numPr>
        <w:spacing w:line="360" w:lineRule="auto"/>
        <w:rPr>
          <w:rFonts w:ascii="宋体" w:hAnsi="宋体" w:cs="宋体"/>
          <w:sz w:val="28"/>
          <w:szCs w:val="28"/>
        </w:rPr>
      </w:pPr>
      <w:r>
        <w:rPr>
          <w:rFonts w:hint="eastAsia" w:asciiTheme="minorEastAsia" w:hAnsiTheme="minorEastAsia" w:cstheme="minorEastAsia"/>
          <w:color w:val="000000" w:themeColor="text1"/>
          <w:sz w:val="28"/>
          <w:szCs w:val="28"/>
        </w:rPr>
        <w:t>报价供应商截止递交报价文件的时间为2025年5月12日下午3点，报价文件必须密封，</w:t>
      </w:r>
      <w:r>
        <w:rPr>
          <w:rFonts w:hint="eastAsia" w:ascii="宋体" w:hAnsi="宋体" w:cs="宋体"/>
          <w:sz w:val="28"/>
          <w:szCs w:val="28"/>
        </w:rPr>
        <w:t>封面填写项目名称，</w:t>
      </w:r>
      <w:r>
        <w:rPr>
          <w:rFonts w:hint="eastAsia" w:asciiTheme="minorEastAsia" w:hAnsiTheme="minorEastAsia" w:cstheme="minorEastAsia"/>
          <w:color w:val="000000" w:themeColor="text1"/>
          <w:sz w:val="28"/>
          <w:szCs w:val="28"/>
        </w:rPr>
        <w:t>否则一律拒收。报价供应商可通过快递寄送（必须用顺丰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rPr>
        <w:t>）或现场递交，快递到付拒收。</w:t>
      </w:r>
    </w:p>
    <w:p w14:paraId="770CCD3D">
      <w:pPr>
        <w:numPr>
          <w:ilvl w:val="0"/>
          <w:numId w:val="2"/>
        </w:numPr>
        <w:spacing w:line="360" w:lineRule="auto"/>
      </w:pPr>
      <w:r>
        <w:rPr>
          <w:rFonts w:hint="eastAsia" w:asciiTheme="minorEastAsia" w:hAnsiTheme="minorEastAsia" w:cstheme="minorEastAsia"/>
          <w:color w:val="000000" w:themeColor="text1"/>
          <w:sz w:val="28"/>
          <w:szCs w:val="28"/>
        </w:rPr>
        <w:t>投标联系人：张老师  联系方式：13710623224</w:t>
      </w:r>
    </w:p>
    <w:p w14:paraId="5E8762F4">
      <w:pPr>
        <w:numPr>
          <w:ilvl w:val="0"/>
          <w:numId w:val="2"/>
        </w:numPr>
        <w:spacing w:line="360" w:lineRule="auto"/>
      </w:pPr>
      <w:r>
        <w:rPr>
          <w:rFonts w:hint="eastAsia" w:asciiTheme="minorEastAsia" w:hAnsiTheme="minorEastAsia" w:cstheme="minorEastAsia"/>
          <w:color w:val="000000" w:themeColor="text1"/>
          <w:sz w:val="28"/>
          <w:szCs w:val="28"/>
        </w:rPr>
        <w:t>投标地址：广州市天河区广汕一路297号广东生态工程职业学院办公楼203室，可快递寄送（必须用顺丰快递）或现场递交。</w:t>
      </w:r>
    </w:p>
    <w:p w14:paraId="70BE4DC1">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p>
    <w:p w14:paraId="04E908CF">
      <w:pPr>
        <w:pStyle w:val="17"/>
        <w:numPr>
          <w:ilvl w:val="0"/>
          <w:numId w:val="4"/>
        </w:numPr>
        <w:spacing w:line="360" w:lineRule="auto"/>
        <w:ind w:firstLineChars="0"/>
        <w:rPr>
          <w:rFonts w:ascii="宋体" w:hAnsi="宋体" w:cs="宋体"/>
          <w:b/>
          <w:bCs/>
          <w:sz w:val="28"/>
          <w:szCs w:val="28"/>
        </w:rPr>
      </w:pPr>
      <w:r>
        <w:rPr>
          <w:rFonts w:hint="eastAsia" w:ascii="宋体" w:hAnsi="宋体" w:cs="宋体"/>
          <w:b/>
          <w:bCs/>
          <w:sz w:val="28"/>
          <w:szCs w:val="28"/>
        </w:rPr>
        <w:t>项目内容及要求：</w:t>
      </w:r>
    </w:p>
    <w:p w14:paraId="3CACB39A">
      <w:pPr>
        <w:spacing w:line="360" w:lineRule="auto"/>
        <w:ind w:firstLine="560" w:firstLineChars="200"/>
        <w:rPr>
          <w:rFonts w:asciiTheme="minorEastAsia" w:hAnsiTheme="minorEastAsia" w:cstheme="minorEastAsia"/>
          <w:bCs/>
          <w:color w:val="000000" w:themeColor="text1"/>
          <w:sz w:val="28"/>
          <w:szCs w:val="28"/>
        </w:rPr>
      </w:pPr>
      <w:bookmarkStart w:id="17" w:name="_Toc191654835"/>
      <w:r>
        <w:rPr>
          <w:rFonts w:hint="eastAsia" w:asciiTheme="minorEastAsia" w:hAnsiTheme="minorEastAsia" w:cstheme="minorEastAsia"/>
          <w:bCs/>
          <w:color w:val="000000" w:themeColor="text1"/>
          <w:sz w:val="28"/>
          <w:szCs w:val="28"/>
        </w:rPr>
        <w:t>为持续推进“2024年广东省对太平洋岛国交流合作专项”的实施工作，进一步提升我院援外培训数字化力度、人才培养质量及社会服务效能，我院在完成一期援外培训专业教学资源库平台建设的基础上</w:t>
      </w:r>
      <w:r>
        <w:rPr>
          <w:rFonts w:hint="eastAsia" w:asciiTheme="minorEastAsia" w:hAnsiTheme="minorEastAsia" w:cstheme="minorEastAsia"/>
          <w:bCs/>
          <w:color w:val="000000" w:themeColor="text1"/>
          <w:sz w:val="28"/>
          <w:szCs w:val="28"/>
          <w:lang w:eastAsia="zh-CN"/>
        </w:rPr>
        <w:t>，</w:t>
      </w:r>
      <w:r>
        <w:rPr>
          <w:rFonts w:asciiTheme="minorEastAsia" w:hAnsiTheme="minorEastAsia" w:cstheme="minorEastAsia"/>
          <w:bCs/>
          <w:color w:val="000000" w:themeColor="text1"/>
          <w:sz w:val="28"/>
          <w:szCs w:val="28"/>
        </w:rPr>
        <w:t>进一步优化平台功能，深化资源整合与共享、提升用户体验与互动性、强化技术支撑与安全性、拓展应用场景与功能，全面提升平台的效能和用户体验</w:t>
      </w:r>
      <w:r>
        <w:rPr>
          <w:rFonts w:hint="eastAsia" w:asciiTheme="minorEastAsia" w:hAnsiTheme="minorEastAsia" w:cstheme="minorEastAsia"/>
          <w:bCs/>
          <w:color w:val="000000" w:themeColor="text1"/>
          <w:sz w:val="28"/>
          <w:szCs w:val="28"/>
        </w:rPr>
        <w:t>。</w:t>
      </w:r>
    </w:p>
    <w:p w14:paraId="4D990572">
      <w:pPr>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1、建设要求：</w:t>
      </w:r>
    </w:p>
    <w:bookmarkEnd w:id="17"/>
    <w:p w14:paraId="2CA9770E">
      <w:pPr>
        <w:spacing w:line="360" w:lineRule="auto"/>
        <w:ind w:firstLine="560" w:firstLineChars="200"/>
        <w:rPr>
          <w:rFonts w:asciiTheme="minorEastAsia" w:hAnsiTheme="minorEastAsia" w:cstheme="minorEastAsia"/>
          <w:bCs/>
          <w:color w:val="000000" w:themeColor="text1"/>
          <w:sz w:val="28"/>
          <w:szCs w:val="28"/>
        </w:rPr>
      </w:pPr>
      <w:bookmarkStart w:id="18" w:name="_Toc191654837"/>
      <w:bookmarkStart w:id="19" w:name="_Toc85547390"/>
      <w:r>
        <w:rPr>
          <w:rFonts w:hint="eastAsia" w:asciiTheme="minorEastAsia" w:hAnsiTheme="minorEastAsia" w:cstheme="minorEastAsia"/>
          <w:bCs/>
          <w:color w:val="000000" w:themeColor="text1"/>
          <w:sz w:val="28"/>
          <w:szCs w:val="28"/>
        </w:rPr>
        <w:t>（1）</w:t>
      </w:r>
      <w:bookmarkStart w:id="20" w:name="OLE_LINK1"/>
      <w:bookmarkStart w:id="21" w:name="OLE_LINK2"/>
      <w:r>
        <w:rPr>
          <w:rFonts w:hint="eastAsia" w:asciiTheme="minorEastAsia" w:hAnsiTheme="minorEastAsia" w:cstheme="minorEastAsia"/>
          <w:bCs/>
          <w:color w:val="000000" w:themeColor="text1"/>
          <w:sz w:val="28"/>
          <w:szCs w:val="28"/>
        </w:rPr>
        <w:t>各专业教学资源库达到统一管理：</w:t>
      </w:r>
      <w:bookmarkEnd w:id="20"/>
      <w:bookmarkEnd w:id="21"/>
      <w:r>
        <w:rPr>
          <w:rFonts w:hint="eastAsia" w:asciiTheme="minorEastAsia" w:hAnsiTheme="minorEastAsia" w:cstheme="minorEastAsia"/>
          <w:bCs/>
          <w:color w:val="000000" w:themeColor="text1"/>
          <w:sz w:val="28"/>
          <w:szCs w:val="28"/>
        </w:rPr>
        <w:t>构造能够满足教学资源建设长期持续发展的应用框架，实现支撑平台的集中化。专业资源无论是网站还是资源数据都能达到统一的管理。整合有效网络资源统一管理，使其达到利用最大化和以专业为基础进行数字化教学资源的建设和组织，并实现院校级各专业的资源共建、共享、共用，实现学校软资产的不断积累。</w:t>
      </w:r>
    </w:p>
    <w:p w14:paraId="158A30F5">
      <w:pPr>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2）明确资源库建立流程，分工明确：实现数字化学习资源的标准、规范、技术、工具和方法。建立统一门户的专业资源管理系统，满足高校学生学习、专业教学以及企业员工技术培训与社会人员继续教育的需求。完善的门户框架和逻辑清晰的使用流程，促进资源整合过程中教师分工明确。</w:t>
      </w:r>
    </w:p>
    <w:p w14:paraId="7D87ECD0">
      <w:pPr>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3）构建全面且灵活的课程思政资源与管理平台：构建一套全面、灵活且高效的课程思政资源与管理平台，该平台需涵盖课程思政模块库、思政门户建设及备课资源支持。课程思政模块库应提供颗粒化资源，与专业资源库及泛雅网络教学平台无缝对接，支持多场景融入课程，实现多元教育。思政门户需支持多层级、多模板、自适应手机端，内置功能控件，便于维护与信息推送。备课资源方面，应支持校本课程思政模块体系的搭建，实现资源共建共享，支持自定义主题分类与标签筛选，提供丰富育人元素存储与调用功能，支持富文本编辑器操作及多种角色上传资源，配备灵活审核流程与权限管理，确保资源质量与安全。同时，平台需支持资源检索、来源展示、课程编辑界面优化及资源推送应用，全面满足教师备课、授课及学校管理的需求。</w:t>
      </w:r>
    </w:p>
    <w:p w14:paraId="1BFE9A3A">
      <w:pPr>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4）‌个性化学习与教学互动‌：应具有强大的交流协作功能，提供同步、异步的交流讨论工具，支持学生之间、学生与教师之间方便地共享信息、交流、讨论、协商。支持辅助教学、翻转课堂、纯网络学习及直播课等多种教学模式。提供AI助教功能，实现人机交互与专业回复。学习空间为学生打造个性化主页，记录学习历程。学生主体除了在线教育模式与学生多终端在线自主学习模式外，也可实现课程资源的校际课程选修共享、混合式教学、教学质量监控所需。</w:t>
      </w:r>
    </w:p>
    <w:p w14:paraId="3140E9B6">
      <w:pPr>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5）高效资源管理与便捷共享：各专业的资源大体可分为专业级资源、课程级资源、素材级资源三级基础框架。专业资源与课程资源的构建中，设计更为丰富的子结构。根据各专业的独特需求进行灵活配置，实现教师能够自主高效地管理及应用资源，学生能够便捷地共享和下载所需资源，同时确保所有数据得以整合。</w:t>
      </w:r>
    </w:p>
    <w:p w14:paraId="2F1177A2">
      <w:pPr>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6）多层级自适应课程思政门户平台：课程思政平台门户，支持多层级，包含多套模板可供选择，支持二级门户建设，支持多种尺寸版型同时自适应手机端，内置多种功能控件，门户后台维护简便灵活，即开即用，一键发布即时生效，并可随时更新和推送平台管理和应用的各类信息和数据。</w:t>
      </w:r>
    </w:p>
    <w:p w14:paraId="4644003E">
      <w:pPr>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7）高效可扩展的在线教育平台设计与实施：满足大规模用户并发使用的需求，支持分布式部署，确保万人在线学习的流畅性能。它全面覆盖了教学资源建设、网络课程建设、内容共享、学习过程跟踪与控制、在线测试与作业发布、交流互动、成绩评测及学习成果反馈等核心教学流程。</w:t>
      </w:r>
    </w:p>
    <w:p w14:paraId="0B0C03D3">
      <w:pPr>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2、</w:t>
      </w:r>
      <w:bookmarkEnd w:id="18"/>
      <w:r>
        <w:rPr>
          <w:rFonts w:hint="eastAsia" w:asciiTheme="minorEastAsia" w:hAnsiTheme="minorEastAsia" w:cstheme="minorEastAsia"/>
          <w:bCs/>
          <w:color w:val="000000" w:themeColor="text1"/>
          <w:sz w:val="28"/>
          <w:szCs w:val="28"/>
        </w:rPr>
        <w:t>技术要求：</w:t>
      </w:r>
      <w:bookmarkStart w:id="22" w:name="_Toc508633106"/>
    </w:p>
    <w:p w14:paraId="3AC532B2">
      <w:pPr>
        <w:spacing w:line="360" w:lineRule="auto"/>
        <w:ind w:firstLine="560" w:firstLineChars="200"/>
        <w:rPr>
          <w:rFonts w:ascii="宋体" w:hAnsi="宋体" w:cs="Arial"/>
          <w:color w:val="333333"/>
          <w:sz w:val="28"/>
          <w:szCs w:val="28"/>
          <w:shd w:val="clear" w:color="auto" w:fill="FFFFFF"/>
        </w:rPr>
      </w:pPr>
      <w:r>
        <w:rPr>
          <w:rFonts w:hint="eastAsia" w:ascii="宋体" w:hAnsi="宋体" w:cs="Arial"/>
          <w:color w:val="333333"/>
          <w:sz w:val="28"/>
          <w:szCs w:val="28"/>
          <w:shd w:val="clear" w:color="auto" w:fill="FFFFFF"/>
        </w:rPr>
        <w:t>（1）系统部署：系统采用的浏览器/服务器（B/S）架构，服务器端需具备跨平台兼容性，能够在UNIX、Linux等广泛使用的操作系统上流畅运行，支持多种数据库系统。页面采用先进的Web2.0 AJAX技术开发，无需额外插件即可兼容主流浏览器。平台具备先进性、可移植性、开放性和兼容性，支持标准化多媒体课件，且随着用户量增长，仅需增加相应硬件即可扩展和支持Web服务器集群，内置安全策略和备份机制，确保系统稳定运行和数据安全。该平台对网络课程数量和注册用户数无限制。</w:t>
      </w:r>
    </w:p>
    <w:p w14:paraId="4632481D">
      <w:pPr>
        <w:tabs>
          <w:tab w:val="left" w:pos="567"/>
        </w:tabs>
        <w:spacing w:line="360" w:lineRule="auto"/>
        <w:ind w:firstLine="560" w:firstLineChars="200"/>
        <w:rPr>
          <w:rFonts w:ascii="宋体" w:hAnsi="宋体" w:cs="Arial"/>
          <w:color w:val="333333"/>
          <w:sz w:val="28"/>
          <w:szCs w:val="28"/>
          <w:shd w:val="clear" w:color="auto" w:fill="FFFFFF"/>
        </w:rPr>
      </w:pPr>
      <w:r>
        <w:rPr>
          <w:rFonts w:hint="eastAsia" w:ascii="宋体" w:hAnsi="宋体" w:cs="Arial"/>
          <w:color w:val="333333"/>
          <w:sz w:val="28"/>
          <w:szCs w:val="28"/>
          <w:shd w:val="clear" w:color="auto" w:fill="FFFFFF"/>
        </w:rPr>
        <w:t>（2）安全要求：资源库平台在物理安全、网络安全、主机安全、应用安全、数据安全、管理要求等方面，不低于《信息安全等级保护管理办法》规定的信息系统安全等级保护(三级)基本要求。</w:t>
      </w:r>
    </w:p>
    <w:p w14:paraId="0888611F">
      <w:pPr>
        <w:tabs>
          <w:tab w:val="left" w:pos="567"/>
        </w:tabs>
        <w:spacing w:line="360" w:lineRule="auto"/>
        <w:ind w:firstLine="560" w:firstLineChars="200"/>
        <w:rPr>
          <w:rFonts w:ascii="宋体" w:hAnsi="宋体" w:cs="Arial"/>
          <w:color w:val="333333"/>
          <w:sz w:val="28"/>
          <w:szCs w:val="28"/>
          <w:shd w:val="clear" w:color="auto" w:fill="FFFFFF"/>
        </w:rPr>
      </w:pPr>
      <w:r>
        <w:rPr>
          <w:rFonts w:hint="eastAsia" w:ascii="宋体" w:hAnsi="宋体" w:cs="Arial"/>
          <w:color w:val="333333"/>
          <w:sz w:val="28"/>
          <w:szCs w:val="28"/>
          <w:shd w:val="clear" w:color="auto" w:fill="FFFFFF"/>
        </w:rPr>
        <w:t>（3）性能要求：</w:t>
      </w:r>
    </w:p>
    <w:p w14:paraId="5F194A2B">
      <w:pPr>
        <w:numPr>
          <w:ilvl w:val="0"/>
          <w:numId w:val="5"/>
        </w:numPr>
        <w:tabs>
          <w:tab w:val="left" w:pos="567"/>
        </w:tabs>
        <w:spacing w:line="360" w:lineRule="auto"/>
        <w:ind w:firstLine="560" w:firstLineChars="200"/>
        <w:rPr>
          <w:rFonts w:ascii="宋体" w:hAnsi="宋体" w:cs="Arial"/>
          <w:color w:val="333333"/>
          <w:sz w:val="28"/>
          <w:szCs w:val="28"/>
          <w:shd w:val="clear" w:color="auto" w:fill="FFFFFF"/>
        </w:rPr>
      </w:pPr>
      <w:r>
        <w:rPr>
          <w:rFonts w:hint="eastAsia" w:ascii="宋体" w:hAnsi="宋体" w:cs="Arial"/>
          <w:color w:val="333333"/>
          <w:sz w:val="28"/>
          <w:szCs w:val="28"/>
          <w:shd w:val="clear" w:color="auto" w:fill="FFFFFF"/>
        </w:rPr>
        <w:t>平台要向全部师生开放，因此在稳定性、安全性、可靠性方面要有严格的保障，至少满足以下性能指标和提供性能测试报告：</w:t>
      </w:r>
    </w:p>
    <w:tbl>
      <w:tblPr>
        <w:tblStyle w:val="12"/>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2"/>
        <w:gridCol w:w="1489"/>
        <w:gridCol w:w="1550"/>
        <w:gridCol w:w="1998"/>
        <w:gridCol w:w="1999"/>
      </w:tblGrid>
      <w:tr w14:paraId="377A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9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3CD196">
            <w:pPr>
              <w:adjustRightInd w:val="0"/>
              <w:snapToGrid w:val="0"/>
              <w:spacing w:line="360" w:lineRule="auto"/>
              <w:jc w:val="center"/>
              <w:rPr>
                <w:rFonts w:cs="Times New Roman" w:asciiTheme="minorEastAsia" w:hAnsiTheme="minorEastAsia"/>
                <w:sz w:val="24"/>
              </w:rPr>
            </w:pPr>
            <w:r>
              <w:rPr>
                <w:rFonts w:hint="eastAsia" w:cs="Times New Roman" w:asciiTheme="minorEastAsia" w:hAnsiTheme="minorEastAsia"/>
                <w:sz w:val="24"/>
              </w:rPr>
              <w:t>同时在线用户数</w:t>
            </w:r>
          </w:p>
        </w:tc>
        <w:tc>
          <w:tcPr>
            <w:tcW w:w="148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0D6A77">
            <w:pPr>
              <w:adjustRightInd w:val="0"/>
              <w:snapToGrid w:val="0"/>
              <w:spacing w:line="360" w:lineRule="auto"/>
              <w:jc w:val="center"/>
              <w:rPr>
                <w:rFonts w:cs="Times New Roman" w:asciiTheme="minorEastAsia" w:hAnsiTheme="minorEastAsia"/>
                <w:sz w:val="24"/>
              </w:rPr>
            </w:pPr>
            <w:r>
              <w:rPr>
                <w:rFonts w:hint="eastAsia" w:cs="Times New Roman" w:asciiTheme="minorEastAsia" w:hAnsiTheme="minorEastAsia"/>
                <w:sz w:val="24"/>
              </w:rPr>
              <w:t>并发用户数</w:t>
            </w:r>
          </w:p>
        </w:tc>
        <w:tc>
          <w:tcPr>
            <w:tcW w:w="554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688468E">
            <w:pPr>
              <w:adjustRightInd w:val="0"/>
              <w:snapToGrid w:val="0"/>
              <w:spacing w:line="360" w:lineRule="auto"/>
              <w:jc w:val="center"/>
              <w:rPr>
                <w:rFonts w:cs="Times New Roman" w:asciiTheme="minorEastAsia" w:hAnsiTheme="minorEastAsia"/>
                <w:sz w:val="24"/>
              </w:rPr>
            </w:pPr>
            <w:r>
              <w:rPr>
                <w:rFonts w:hint="eastAsia" w:cs="Times New Roman" w:asciiTheme="minorEastAsia" w:hAnsiTheme="minorEastAsia"/>
                <w:sz w:val="24"/>
              </w:rPr>
              <w:t>响应时间</w:t>
            </w:r>
          </w:p>
        </w:tc>
      </w:tr>
      <w:tr w14:paraId="0672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9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52E4AF">
            <w:pPr>
              <w:adjustRightInd w:val="0"/>
              <w:snapToGrid w:val="0"/>
              <w:spacing w:line="360" w:lineRule="auto"/>
              <w:jc w:val="center"/>
              <w:rPr>
                <w:rFonts w:cs="Times New Roman" w:asciiTheme="minorEastAsia" w:hAnsiTheme="minorEastAsia"/>
                <w:sz w:val="24"/>
              </w:rPr>
            </w:pPr>
          </w:p>
        </w:tc>
        <w:tc>
          <w:tcPr>
            <w:tcW w:w="14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C5B7BF">
            <w:pPr>
              <w:adjustRightInd w:val="0"/>
              <w:snapToGrid w:val="0"/>
              <w:spacing w:line="360" w:lineRule="auto"/>
              <w:jc w:val="center"/>
              <w:rPr>
                <w:rFonts w:cs="Times New Roman" w:asciiTheme="minorEastAsia" w:hAnsiTheme="minorEastAsia"/>
                <w:sz w:val="24"/>
              </w:rPr>
            </w:pPr>
          </w:p>
        </w:tc>
        <w:tc>
          <w:tcPr>
            <w:tcW w:w="1550" w:type="dxa"/>
            <w:tcBorders>
              <w:top w:val="single" w:color="auto" w:sz="4" w:space="0"/>
              <w:left w:val="single" w:color="auto" w:sz="4" w:space="0"/>
              <w:bottom w:val="single" w:color="auto" w:sz="4" w:space="0"/>
              <w:right w:val="single" w:color="auto" w:sz="4" w:space="0"/>
            </w:tcBorders>
            <w:shd w:val="clear" w:color="auto" w:fill="auto"/>
            <w:vAlign w:val="center"/>
          </w:tcPr>
          <w:p w14:paraId="354CC1EA">
            <w:pPr>
              <w:adjustRightInd w:val="0"/>
              <w:snapToGrid w:val="0"/>
              <w:spacing w:line="360" w:lineRule="auto"/>
              <w:jc w:val="center"/>
              <w:rPr>
                <w:rFonts w:cs="Times New Roman" w:asciiTheme="minorEastAsia" w:hAnsiTheme="minorEastAsia"/>
                <w:sz w:val="24"/>
              </w:rPr>
            </w:pPr>
            <w:r>
              <w:rPr>
                <w:rFonts w:hint="eastAsia" w:cs="Times New Roman" w:asciiTheme="minorEastAsia" w:hAnsiTheme="minorEastAsia"/>
                <w:sz w:val="24"/>
              </w:rPr>
              <w:t>业务访问</w:t>
            </w:r>
          </w:p>
        </w:tc>
        <w:tc>
          <w:tcPr>
            <w:tcW w:w="1998" w:type="dxa"/>
            <w:tcBorders>
              <w:top w:val="single" w:color="auto" w:sz="4" w:space="0"/>
              <w:left w:val="single" w:color="auto" w:sz="4" w:space="0"/>
              <w:bottom w:val="single" w:color="auto" w:sz="4" w:space="0"/>
              <w:right w:val="single" w:color="auto" w:sz="4" w:space="0"/>
            </w:tcBorders>
            <w:shd w:val="clear" w:color="auto" w:fill="auto"/>
            <w:vAlign w:val="center"/>
          </w:tcPr>
          <w:p w14:paraId="1EF30FB4">
            <w:pPr>
              <w:adjustRightInd w:val="0"/>
              <w:snapToGrid w:val="0"/>
              <w:spacing w:line="360" w:lineRule="auto"/>
              <w:jc w:val="center"/>
              <w:rPr>
                <w:rFonts w:cs="Times New Roman" w:asciiTheme="minorEastAsia" w:hAnsiTheme="minorEastAsia"/>
                <w:sz w:val="24"/>
              </w:rPr>
            </w:pPr>
            <w:r>
              <w:rPr>
                <w:rFonts w:hint="eastAsia" w:cs="Times New Roman" w:asciiTheme="minorEastAsia" w:hAnsiTheme="minorEastAsia"/>
                <w:sz w:val="24"/>
              </w:rPr>
              <w:t>文档类资源</w:t>
            </w:r>
          </w:p>
        </w:tc>
        <w:tc>
          <w:tcPr>
            <w:tcW w:w="1999" w:type="dxa"/>
            <w:tcBorders>
              <w:top w:val="single" w:color="auto" w:sz="4" w:space="0"/>
              <w:left w:val="single" w:color="auto" w:sz="4" w:space="0"/>
              <w:bottom w:val="single" w:color="auto" w:sz="4" w:space="0"/>
              <w:right w:val="single" w:color="auto" w:sz="4" w:space="0"/>
            </w:tcBorders>
            <w:shd w:val="clear" w:color="auto" w:fill="auto"/>
            <w:vAlign w:val="center"/>
          </w:tcPr>
          <w:p w14:paraId="02C8EF54">
            <w:pPr>
              <w:adjustRightInd w:val="0"/>
              <w:snapToGrid w:val="0"/>
              <w:spacing w:line="360" w:lineRule="auto"/>
              <w:jc w:val="center"/>
              <w:rPr>
                <w:rFonts w:cs="Times New Roman" w:asciiTheme="minorEastAsia" w:hAnsiTheme="minorEastAsia"/>
                <w:sz w:val="24"/>
              </w:rPr>
            </w:pPr>
            <w:r>
              <w:rPr>
                <w:rFonts w:hint="eastAsia" w:cs="Times New Roman" w:asciiTheme="minorEastAsia" w:hAnsiTheme="minorEastAsia"/>
                <w:sz w:val="24"/>
              </w:rPr>
              <w:t>视频类资源</w:t>
            </w:r>
          </w:p>
        </w:tc>
      </w:tr>
      <w:tr w14:paraId="4E065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982" w:type="dxa"/>
            <w:tcBorders>
              <w:top w:val="single" w:color="auto" w:sz="4" w:space="0"/>
              <w:left w:val="single" w:color="auto" w:sz="4" w:space="0"/>
              <w:bottom w:val="single" w:color="auto" w:sz="4" w:space="0"/>
              <w:right w:val="single" w:color="auto" w:sz="4" w:space="0"/>
            </w:tcBorders>
            <w:shd w:val="clear" w:color="auto" w:fill="auto"/>
            <w:vAlign w:val="center"/>
          </w:tcPr>
          <w:p w14:paraId="72F686D4">
            <w:pPr>
              <w:adjustRightInd w:val="0"/>
              <w:snapToGrid w:val="0"/>
              <w:spacing w:line="360" w:lineRule="auto"/>
              <w:jc w:val="center"/>
              <w:rPr>
                <w:rFonts w:cs="Times New Roman" w:asciiTheme="minorEastAsia" w:hAnsiTheme="minorEastAsia"/>
                <w:sz w:val="24"/>
              </w:rPr>
            </w:pPr>
            <w:r>
              <w:rPr>
                <w:rFonts w:hint="eastAsia" w:cs="Times New Roman" w:asciiTheme="minorEastAsia" w:hAnsiTheme="minorEastAsia"/>
                <w:sz w:val="24"/>
              </w:rPr>
              <w:t>50000人</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14:paraId="7FF8403B">
            <w:pPr>
              <w:adjustRightInd w:val="0"/>
              <w:snapToGrid w:val="0"/>
              <w:spacing w:line="360" w:lineRule="auto"/>
              <w:jc w:val="center"/>
              <w:rPr>
                <w:rFonts w:cs="Times New Roman" w:asciiTheme="minorEastAsia" w:hAnsiTheme="minorEastAsia"/>
                <w:sz w:val="24"/>
              </w:rPr>
            </w:pPr>
            <w:r>
              <w:rPr>
                <w:rFonts w:hint="eastAsia" w:cs="Times New Roman" w:asciiTheme="minorEastAsia" w:hAnsiTheme="minorEastAsia"/>
                <w:sz w:val="24"/>
              </w:rPr>
              <w:t>5000人</w:t>
            </w:r>
          </w:p>
        </w:tc>
        <w:tc>
          <w:tcPr>
            <w:tcW w:w="1550" w:type="dxa"/>
            <w:tcBorders>
              <w:top w:val="single" w:color="auto" w:sz="4" w:space="0"/>
              <w:left w:val="single" w:color="auto" w:sz="4" w:space="0"/>
              <w:bottom w:val="single" w:color="auto" w:sz="4" w:space="0"/>
              <w:right w:val="single" w:color="auto" w:sz="4" w:space="0"/>
            </w:tcBorders>
            <w:shd w:val="clear" w:color="auto" w:fill="auto"/>
            <w:vAlign w:val="center"/>
          </w:tcPr>
          <w:p w14:paraId="460DD310">
            <w:pPr>
              <w:adjustRightInd w:val="0"/>
              <w:snapToGrid w:val="0"/>
              <w:spacing w:line="360" w:lineRule="auto"/>
              <w:jc w:val="center"/>
              <w:rPr>
                <w:rFonts w:cs="Times New Roman" w:asciiTheme="minorEastAsia" w:hAnsiTheme="minorEastAsia"/>
                <w:sz w:val="24"/>
              </w:rPr>
            </w:pPr>
            <w:r>
              <w:rPr>
                <w:rFonts w:hint="eastAsia" w:cs="Times New Roman" w:asciiTheme="minorEastAsia" w:hAnsiTheme="minorEastAsia"/>
                <w:sz w:val="24"/>
              </w:rPr>
              <w:t>3秒以内</w:t>
            </w:r>
          </w:p>
        </w:tc>
        <w:tc>
          <w:tcPr>
            <w:tcW w:w="1998" w:type="dxa"/>
            <w:tcBorders>
              <w:top w:val="single" w:color="auto" w:sz="4" w:space="0"/>
              <w:left w:val="single" w:color="auto" w:sz="4" w:space="0"/>
              <w:bottom w:val="single" w:color="auto" w:sz="4" w:space="0"/>
              <w:right w:val="single" w:color="auto" w:sz="4" w:space="0"/>
            </w:tcBorders>
            <w:shd w:val="clear" w:color="auto" w:fill="auto"/>
            <w:vAlign w:val="center"/>
          </w:tcPr>
          <w:p w14:paraId="6270A544">
            <w:pPr>
              <w:adjustRightInd w:val="0"/>
              <w:snapToGrid w:val="0"/>
              <w:spacing w:line="360" w:lineRule="auto"/>
              <w:jc w:val="center"/>
              <w:rPr>
                <w:rFonts w:cs="Times New Roman" w:asciiTheme="minorEastAsia" w:hAnsiTheme="minorEastAsia"/>
                <w:sz w:val="24"/>
              </w:rPr>
            </w:pPr>
            <w:r>
              <w:rPr>
                <w:rFonts w:hint="eastAsia" w:cs="Times New Roman" w:asciiTheme="minorEastAsia" w:hAnsiTheme="minorEastAsia"/>
                <w:sz w:val="24"/>
              </w:rPr>
              <w:t>3秒以内</w:t>
            </w:r>
          </w:p>
        </w:tc>
        <w:tc>
          <w:tcPr>
            <w:tcW w:w="1999" w:type="dxa"/>
            <w:tcBorders>
              <w:top w:val="single" w:color="auto" w:sz="4" w:space="0"/>
              <w:left w:val="single" w:color="auto" w:sz="4" w:space="0"/>
              <w:bottom w:val="single" w:color="auto" w:sz="4" w:space="0"/>
              <w:right w:val="single" w:color="auto" w:sz="4" w:space="0"/>
            </w:tcBorders>
            <w:shd w:val="clear" w:color="auto" w:fill="auto"/>
            <w:vAlign w:val="center"/>
          </w:tcPr>
          <w:p w14:paraId="639C0E80">
            <w:pPr>
              <w:adjustRightInd w:val="0"/>
              <w:snapToGrid w:val="0"/>
              <w:spacing w:line="360" w:lineRule="auto"/>
              <w:jc w:val="center"/>
              <w:rPr>
                <w:rFonts w:cs="Times New Roman" w:asciiTheme="minorEastAsia" w:hAnsiTheme="minorEastAsia"/>
                <w:sz w:val="24"/>
              </w:rPr>
            </w:pPr>
            <w:r>
              <w:rPr>
                <w:rFonts w:hint="eastAsia" w:cs="Times New Roman" w:asciiTheme="minorEastAsia" w:hAnsiTheme="minorEastAsia"/>
                <w:sz w:val="24"/>
              </w:rPr>
              <w:t>6秒以内</w:t>
            </w:r>
          </w:p>
        </w:tc>
      </w:tr>
    </w:tbl>
    <w:p w14:paraId="658650CD">
      <w:pPr>
        <w:numPr>
          <w:ilvl w:val="0"/>
          <w:numId w:val="5"/>
        </w:numPr>
        <w:tabs>
          <w:tab w:val="left" w:pos="567"/>
        </w:tabs>
        <w:spacing w:line="360" w:lineRule="auto"/>
        <w:ind w:firstLine="560" w:firstLineChars="200"/>
        <w:rPr>
          <w:rFonts w:ascii="宋体" w:hAnsi="宋体" w:cs="Arial"/>
          <w:color w:val="333333"/>
          <w:sz w:val="28"/>
          <w:szCs w:val="28"/>
          <w:shd w:val="clear" w:color="auto" w:fill="FFFFFF"/>
        </w:rPr>
      </w:pPr>
      <w:r>
        <w:rPr>
          <w:rFonts w:hint="eastAsia" w:ascii="宋体" w:hAnsi="宋体" w:cs="Arial"/>
          <w:color w:val="333333"/>
          <w:sz w:val="28"/>
          <w:szCs w:val="28"/>
          <w:shd w:val="clear" w:color="auto" w:fill="FFFFFF"/>
        </w:rPr>
        <w:t>平台须采用提升数据访问速度的优化技术（IDC、Cache、CDN等），保障资源的访问速度和下载效率。</w:t>
      </w:r>
    </w:p>
    <w:p w14:paraId="4C40D14E">
      <w:pPr>
        <w:numPr>
          <w:ilvl w:val="0"/>
          <w:numId w:val="5"/>
        </w:numPr>
        <w:tabs>
          <w:tab w:val="left" w:pos="567"/>
        </w:tabs>
        <w:spacing w:line="360" w:lineRule="auto"/>
        <w:ind w:firstLine="560" w:firstLineChars="200"/>
        <w:rPr>
          <w:rFonts w:ascii="宋体" w:hAnsi="宋体" w:cs="Arial"/>
          <w:color w:val="333333"/>
          <w:sz w:val="28"/>
          <w:szCs w:val="28"/>
          <w:shd w:val="clear" w:color="auto" w:fill="FFFFFF"/>
        </w:rPr>
      </w:pPr>
      <w:r>
        <w:rPr>
          <w:rFonts w:hint="eastAsia" w:ascii="宋体" w:hAnsi="宋体" w:cs="Arial"/>
          <w:color w:val="333333"/>
          <w:sz w:val="28"/>
          <w:szCs w:val="28"/>
          <w:shd w:val="clear" w:color="auto" w:fill="FFFFFF"/>
        </w:rPr>
        <w:t>独立的课程运行门户网站域名等信息须在ICP备案。</w:t>
      </w:r>
    </w:p>
    <w:p w14:paraId="5F1E6E94">
      <w:pPr>
        <w:numPr>
          <w:ilvl w:val="0"/>
          <w:numId w:val="5"/>
        </w:numPr>
        <w:tabs>
          <w:tab w:val="left" w:pos="567"/>
        </w:tabs>
        <w:spacing w:line="360" w:lineRule="auto"/>
        <w:ind w:firstLine="560" w:firstLineChars="200"/>
        <w:rPr>
          <w:rFonts w:ascii="宋体" w:hAnsi="宋体" w:cs="Arial"/>
          <w:color w:val="333333"/>
          <w:sz w:val="28"/>
          <w:szCs w:val="28"/>
          <w:shd w:val="clear" w:color="auto" w:fill="FFFFFF"/>
        </w:rPr>
      </w:pPr>
      <w:r>
        <w:rPr>
          <w:rFonts w:hint="eastAsia" w:ascii="宋体" w:hAnsi="宋体" w:cs="Arial"/>
          <w:color w:val="333333"/>
          <w:sz w:val="28"/>
          <w:szCs w:val="28"/>
          <w:shd w:val="clear" w:color="auto" w:fill="FFFFFF"/>
        </w:rPr>
        <w:t>平台服务器须设在ISP运营商的IDC机房或BGP机房，确保7*24小时不间断运行。</w:t>
      </w:r>
      <w:bookmarkStart w:id="23" w:name="heading_0"/>
      <w:bookmarkStart w:id="24" w:name="_Toc191654840"/>
    </w:p>
    <w:p w14:paraId="2B3217AA">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3、功能要求：</w:t>
      </w:r>
    </w:p>
    <w:p w14:paraId="46D4D0C6">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1）专业教学资源库平台一期模块精细化运维与效能提升：持续推进本专业教学资源库平台一期已建模块的专业化运维，涵盖资源库门户网站优化、站点全生命周期管理、资源体系化建设管理、多元化资源应用服务以及优质公共资源集成与共享等核心板块。</w:t>
      </w:r>
    </w:p>
    <w:p w14:paraId="466D2819">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（2）设置水产养殖技术专业群双高建设成果专栏：打造水产养殖技术专业群双高建设成果专栏，致力于全方位、多角度展示专业群在双高建设过程中的卓越成就与珍贵硕果。专栏包括但不限于以下板块：</w:t>
      </w:r>
    </w:p>
    <w:p w14:paraId="75A229F1">
      <w:pPr>
        <w:numPr>
          <w:ilvl w:val="0"/>
          <w:numId w:val="6"/>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建设历程：以编年体的形式，详细记录水产养殖技术专业群自启动双高建设以来，每一个关键节点所发生的重大事件与决策，清晰追溯专业群的成长脉络。</w:t>
      </w:r>
    </w:p>
    <w:p w14:paraId="21E81939">
      <w:pPr>
        <w:numPr>
          <w:ilvl w:val="0"/>
          <w:numId w:val="6"/>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教学创新：聚焦于专业群在教学模式、课程体系、实践教学等方面的创新举措与改革实践，通过案例分析、教学成果展示等方式，突显专业群在教育教学方面的独特优势与领先地位。</w:t>
      </w:r>
    </w:p>
    <w:p w14:paraId="527359B5">
      <w:pPr>
        <w:numPr>
          <w:ilvl w:val="0"/>
          <w:numId w:val="6"/>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师资风采：开设教师个人风采展示区，介绍专业群内优秀教师的学术背景、教学成果、科研成就以及他们在指导学生实践、培养学生技能方面的突出贡献，同时分享教师们在教学过程中的心得体会与成长故事，展现一支师德高尚、业务精湛、结构合理的高素质教师队伍形象。</w:t>
      </w:r>
    </w:p>
    <w:p w14:paraId="2FFEDE72">
      <w:pPr>
        <w:numPr>
          <w:ilvl w:val="0"/>
          <w:numId w:val="6"/>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学生风采：集中呈现专业群学生在各类技能竞赛、创新创业活动、社会实践等方面取得的优异成绩和精彩表现，以学生的获奖证书、作品展示、实践成果等为载体，彰显专业群人才培养的高质量与学生的综合素质。</w:t>
      </w:r>
    </w:p>
    <w:p w14:paraId="05450C00">
      <w:pPr>
        <w:numPr>
          <w:ilvl w:val="0"/>
          <w:numId w:val="6"/>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产教融合：深入挖掘专业群与企业在人才培养、技术研发、社会服务等方面的合作案例，通过展示校企合作项目的实施过程与成果效益，体现专业群紧密对接产业需求、服务地方经济发展的能力与担当，以及在产教融合模式探索上的创新与实践。</w:t>
      </w:r>
    </w:p>
    <w:p w14:paraId="5ED4245E">
      <w:pPr>
        <w:numPr>
          <w:ilvl w:val="0"/>
          <w:numId w:val="6"/>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社会服务：集中展示专业群利用自身技术和人才优势，开展的各类社会服务项目，如水产养殖技术培训、渔业技术咨询、水环境治理等，通过服务成果的呈现，彰显专业群的社会贡献度和影响力，同时提升专业群的知名度和美誉度，为专业群的可持续发展奠定坚实基础。</w:t>
      </w:r>
    </w:p>
    <w:p w14:paraId="7E33E776">
      <w:pPr>
        <w:numPr>
          <w:ilvl w:val="0"/>
          <w:numId w:val="6"/>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学术交流：发布专业群教师和学生参加的各类学术会议、研讨会、讲座等活动信息，分享在这些交流活动中所获得的前沿学术动态、行业发展趋势以及与同行专家的交流成果，促进专业群内部的学术氛围营造和知识共享，推动专业群在学术研究方面的不断进步与提升，加强与国内外同类专业群的交流与合作，提升专业群在学术领域的知名度和影响力。</w:t>
      </w:r>
    </w:p>
    <w:p w14:paraId="60600B2E">
      <w:pPr>
        <w:numPr>
          <w:ilvl w:val="0"/>
          <w:numId w:val="6"/>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国际合作：介绍专业群与国外院校、机构在师生交流、课程共建、科研合作等方面的合作项目与交流活动，通过展示国际合作的成果与成效，体现专业群的国际化视野和开放办学理念，为专业群师生提供更广阔的国际交流平台和发展空间，提升专业群的国际影响力和竞争力。</w:t>
      </w:r>
    </w:p>
    <w:p w14:paraId="3B505F9F">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3）个性化与智能化管理功能：系统提供信息发布、页面个性化定制、访问数据统计与分析等功能，满足用户个性化需求。支持智慧门户编辑，采用拖拽式设计，提高管理便捷性，降低操作成本。同时，后台支持门户配置，包括登录设置、模块数据统计等。</w:t>
      </w:r>
    </w:p>
    <w:p w14:paraId="2AE352A9">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（4）网络课程建设：</w:t>
      </w:r>
    </w:p>
    <w:p w14:paraId="47A14D23">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利用慕课纸编辑器可以制作富媒体课程，选择不同的模板就可以建设慕课或精品课程的个性化课程网站。</w:t>
      </w:r>
    </w:p>
    <w:p w14:paraId="636F1EFB">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提供多套精美网络课程建课模板，教师可依据个人资料的丰富程度及喜欢的风格进行个性化的设置，支持教师在建课程自动生成课程网站。开始建课前，可以选择按周、课时自动生成课程章节，快速创建课程章节目录，也可以选择模板导入形式创建课程目录，提升建课效率。</w:t>
      </w:r>
    </w:p>
    <w:p w14:paraId="0A2086C6">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课程编辑页面操作简单、灵活方便、原位编辑、所见即所得。可以发布通告、课程资料、任务、教学资源链接、教师简介等信息。可以任意编写和设置课程的介绍、封面、教学要求、教师团队等等，并支持模块的添加、删除和位置调整，支持是否公开显示的设置，可以上传课程片花。</w:t>
      </w:r>
    </w:p>
    <w:p w14:paraId="0A1FF7BC">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课程负责人可指派其他人作为具有同等或者小于本身课程建设管理权限的课程建设者共建同一门课程，也可为自己指定助教辅助自己进行课程建设和教学管理。并且可以对助教的权限进行设置，比如，是否允许查看成绩、允许管理作业、允许管理考试、允许管理论坛、允许发布通知、允许管理课程设置等。</w:t>
      </w:r>
    </w:p>
    <w:p w14:paraId="2A8AE74B">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教师可通过平台上传课程所需要的教材、参考书、参考文献、视频等资源。课程的内容建设，参考资料，课程介绍等，任何位置均可以通过关键字检索平台所提供的海量资源，资源包括但不限于图书、图片、视频等进行插入；插入的资源可以直接点击在线播放查阅，也支持自己上传资料。</w:t>
      </w:r>
    </w:p>
    <w:p w14:paraId="776C9998">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支持课程教学流程管理，可在课程学习过程中任意位置添加随堂测验，可在单元学习完成后布置作业，可以在章节学习完成后安排考试。</w:t>
      </w:r>
    </w:p>
    <w:p w14:paraId="08BFCED4">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支持慕课制作和慕课教学模式，实现课程知识单元化，每个知识单元聚合丰富的富媒体教学资源，并在同一个页面中进行显示。每个课程单元还可以设置多个标签页。</w:t>
      </w:r>
    </w:p>
    <w:p w14:paraId="473FEB7F">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课程单元内容建设采用富媒体编辑器，编辑器包含视频、文档、图片、音频、图书、公式、符号、附件、网页、动画等常用组件。</w:t>
      </w:r>
    </w:p>
    <w:p w14:paraId="041E07F8">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支持将word文档中的内容直接粘贴到富文本编辑器内，且完整保留文档中的文字和图片等内容。</w:t>
      </w:r>
    </w:p>
    <w:p w14:paraId="602EC817">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支持rmvb、3gp、mpg、mpeg、mov、wmv、asf、avi、mkv、mp4、flv、vob、f4v等高清和网络格式视频上传，视频上传后自动转码，无需下载可以直接在线进行播放。</w:t>
      </w:r>
    </w:p>
    <w:p w14:paraId="5E40756B">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支持多种文档格式的上传，包括DOC、PPT、PDF、TXT等，上传后自动转码，无需下载可以直接在线阅读。</w:t>
      </w:r>
    </w:p>
    <w:p w14:paraId="3B508DE2">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支持超大文件（2G以上）上传并可断点续传。</w:t>
      </w:r>
    </w:p>
    <w:p w14:paraId="26C5DED6">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支持将资源先批量上传至个人云盘中，然后在课程中引用。</w:t>
      </w:r>
    </w:p>
    <w:p w14:paraId="31BA5F0D">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支持视频中任意时间点插入测验：上传视频后，可以在任意时间点插入测试题，包含单选题、多选题和判断题。</w:t>
      </w:r>
    </w:p>
    <w:p w14:paraId="2B9AA029">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支持视频中任意时间点插入图片或PPT：可以在任意时间点插入图片或PPT，同时支持对插入的内容在时间轴上随意拖动。插入的PPT可以任意拖动位置，并可以跟视频窗口进行切换。</w:t>
      </w:r>
    </w:p>
    <w:p w14:paraId="072990F0">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支持视频虚拟剪辑，可以将视频文件按照课程的要求剪辑成适当长度。</w:t>
      </w:r>
    </w:p>
    <w:p w14:paraId="0442C891">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提供可视化的公式编辑器，可以在线进行公式的录入与编辑。</w:t>
      </w:r>
    </w:p>
    <w:p w14:paraId="4880DE27">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支持在线录音功能，录完的音频可以直接在线播放。</w:t>
      </w:r>
    </w:p>
    <w:p w14:paraId="449E7818">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知识点拓展阅读功能，可以根据一个关键词自动生成相关知识点的知识树，插入到课程单元中，并自动推送知识点相关的图书、期刊、论文等资料。</w:t>
      </w:r>
    </w:p>
    <w:p w14:paraId="6F43867A">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支持课程管理，设置试读、设置学生导航栏目、克隆与映射课程等。</w:t>
      </w:r>
    </w:p>
    <w:p w14:paraId="0943E67C">
      <w:pPr>
        <w:numPr>
          <w:ilvl w:val="0"/>
          <w:numId w:val="7"/>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提供课程编辑的操作日志和学生退课日志，便于追溯问题、查找原因。</w:t>
      </w:r>
    </w:p>
    <w:p w14:paraId="7024C394">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（5）课程思政模块库备课资源：</w:t>
      </w:r>
    </w:p>
    <w:p w14:paraId="61E3A41D">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课程思政模块库支持按照学校专业（群）-专业-课程体系，进行分类增加、减少，修改等权限，搭建校本课程思政模块体系，形成校本模块库。通过资源共建共享机制，让全校教师参与建设，实现资源共享，也便于学校沉淀资源成果。</w:t>
      </w:r>
    </w:p>
    <w:p w14:paraId="0351FB25">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按照学校发展定位，支持学校自定义课程思政主题分类，资源与主题进行关联，主页可进行标签筛选。</w:t>
      </w:r>
    </w:p>
    <w:p w14:paraId="486802BC">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 xml:space="preserve">课程思政公共模块库支持按照职业教育专业大类引入资源，以上资源可与校本资源共同接入学校课程思政平台，支持一键化引入教学平台，方便教师备课调取。 </w:t>
      </w:r>
    </w:p>
    <w:p w14:paraId="7D0DB80B">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课程思政模块库支持包含视频、音频、文档等形式育人元素存储和调用，调用时视频支持在线剪辑且即时生效，图文支持二次删减，修改为符合教学的实际内容。</w:t>
      </w:r>
    </w:p>
    <w:p w14:paraId="1C98F275">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课程思政模块元素编辑支持富文本编辑器操作，支持教师在线编写或上传多种方式，支持文本、图片、音频、视频等混合排布，用户上传时须填写必要内容，如资源分类、主题属性、表现形式等。</w:t>
      </w:r>
    </w:p>
    <w:p w14:paraId="7553EA10">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支持校内教师、学生等多种角色上传图文、视频等类型元素到模块库；其中角色支持自定义，管理员可根据学校实际情况进行设置，无数量限制。</w:t>
      </w:r>
    </w:p>
    <w:p w14:paraId="1BE21C37">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校内专家团队对上传的课程思政元素进行审核，支持不低于2级的人员审核流程，其中流程支持灵活配置。审批人设置为发起人自选时，支持设置选择方式一次选一个人或一次选多个人，支持设置选择范围是全单位或指定主管或指定角色。可支持按角色审批并签或签。可根据学校实际情况，针对不同学院或专业提供个性化审批流程，审批流程实时修改及时生效。</w:t>
      </w:r>
    </w:p>
    <w:p w14:paraId="04EF6639">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当资源上传进入校本资源审批流程中时，相应专业提供的审批流程上传过程中需要经过审核人员的层层审批，通过最终审批流程后数据实时回传至校本库中，若审批流程中出现任意一人不通过，则资源自动退回上传人员处。</w:t>
      </w:r>
    </w:p>
    <w:p w14:paraId="06AFD1C2">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提供的自定义审批流程可根据学校实际情况灵活修改，更改审批流程以及审批人员。审批的数据后台，支持导入、导出、查看、编辑、删除数据。导出支持excel文件和pdf文件两种格式。审批后台支持按角色分配数据权限、字段权限、操作权限和其他权限。</w:t>
      </w:r>
    </w:p>
    <w:p w14:paraId="03E002E6">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支持直接将上传的元素归类到学校专业（群）-专业-课程的分类下。</w:t>
      </w:r>
    </w:p>
    <w:p w14:paraId="300E36F4">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支持教师通过课程思政模块库和课程平台进行育人元素查看、搜索、预览操作。</w:t>
      </w:r>
    </w:p>
    <w:p w14:paraId="24852497">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根据教师相关教学设计，支持教师在课程建设或者教学过程中，直接调取课程思政模块库的元素，用于备课和授课过程中。</w:t>
      </w:r>
    </w:p>
    <w:p w14:paraId="33984776">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为了更好地区分育人元素和专业知识之间的区别，添加到网络教学平台的育人元素，要有明显的标识，区分专业课知识点，方便学校管理直接了解教师课程思政教学设计情况。</w:t>
      </w:r>
    </w:p>
    <w:p w14:paraId="48B7E12F">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课程思政模块库调用支持按照关键词、分类等形式进行检索，调用。</w:t>
      </w:r>
    </w:p>
    <w:p w14:paraId="60D903CB">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检索后的元素可提供资源来源，例如校本资源或公共资源。</w:t>
      </w:r>
    </w:p>
    <w:p w14:paraId="755BC7E3">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添加到课程编辑界面的育人元素，支持教师在课程编辑页面，对育人元素进行增添修改，优化为符合实际教学需要的内容。</w:t>
      </w:r>
    </w:p>
    <w:p w14:paraId="37C024C1">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课程思政模块库内容支持展示到学校指定网站。</w:t>
      </w:r>
    </w:p>
    <w:p w14:paraId="2C68A9F6">
      <w:pPr>
        <w:numPr>
          <w:ilvl w:val="0"/>
          <w:numId w:val="8"/>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提供课程思政资源推送应用，教师可在个人空间通过该应用将所教授的课程资源批量选择推送至资源上传应用，可推送的资源类型包含图片、文档、视频。</w:t>
      </w:r>
    </w:p>
    <w:p w14:paraId="3E6A5ECE">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（6）教学互动</w:t>
      </w:r>
    </w:p>
    <w:p w14:paraId="48EDB6CF">
      <w:pPr>
        <w:numPr>
          <w:ilvl w:val="0"/>
          <w:numId w:val="9"/>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 xml:space="preserve">支持辅助教学、翻转课堂、纯网络学习、直播课等多种教学模式。 </w:t>
      </w:r>
    </w:p>
    <w:p w14:paraId="709F6882">
      <w:pPr>
        <w:numPr>
          <w:ilvl w:val="0"/>
          <w:numId w:val="9"/>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提供AI助教功能，支持自动将专业站点下的所有资源推送达模型进行训练。可以和学习者进行人机交互，并给予基于资源库下资源训练下解析出专业性的回复。</w:t>
      </w:r>
    </w:p>
    <w:p w14:paraId="5336EB1F">
      <w:pPr>
        <w:numPr>
          <w:ilvl w:val="0"/>
          <w:numId w:val="9"/>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教师端提供课程管理、班级管理、教师团队管理、助教管理、统计、考试及作业管理、课程通告管理等。提供当前学习过程实时监管。提供进度统计功能、成绩统计并支持报表导出。</w:t>
      </w:r>
    </w:p>
    <w:p w14:paraId="18E7B2CD">
      <w:pPr>
        <w:numPr>
          <w:ilvl w:val="0"/>
          <w:numId w:val="9"/>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学生端实现学生友好学习体验、根据教师设定的课程学习进度，完整地学习网络课程、记录笔记方便复习、支持在线提问、反馈心得。支持师生、生生在线讨论交流、在线作业、在线考试，提供个人学习成绩单（实时展现课程学习要求、已完成进度、待完成任务）。</w:t>
      </w:r>
    </w:p>
    <w:p w14:paraId="1421FDC7">
      <w:pPr>
        <w:numPr>
          <w:ilvl w:val="0"/>
          <w:numId w:val="9"/>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提供功能强大的辅助教学活动的功能，比如：发布作业、在线考试、讨论、答疑、资料等。</w:t>
      </w:r>
    </w:p>
    <w:p w14:paraId="19728D3B">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（7）学习空间：</w:t>
      </w:r>
    </w:p>
    <w:p w14:paraId="4EF451CB">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学习空间可以为每个学生打造个性化的主页，记录其学习历程。同时为了创造一种良好的学习氛围，学习空间融入了SNS的概念，可以满足学生与学生、学生与老师之间的学习互动交流。学习空间采用APP架构，所有学习服务APP化，用户可以把常用的APP应用安装到自己的学习空间主页中，并可以管理自己安装的应用，至少包含以下APP：</w:t>
      </w:r>
    </w:p>
    <w:p w14:paraId="46CAC2C3">
      <w:pPr>
        <w:numPr>
          <w:ilvl w:val="0"/>
          <w:numId w:val="10"/>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笔记：可以记录教学笔记，学习笔记，可以设置共享、私有等权限。</w:t>
      </w:r>
    </w:p>
    <w:p w14:paraId="0466B929">
      <w:pPr>
        <w:numPr>
          <w:ilvl w:val="0"/>
          <w:numId w:val="10"/>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云盘：可以将文件上传至云盘中，随时随地进行下载，并可以在课程建设时引用云盘的资源。提供一个PC版客户端，可以设定一个文件夹，文件夹内容自动与云盘内容保持同步，方便批量上传资源。</w:t>
      </w:r>
    </w:p>
    <w:p w14:paraId="31C69C32">
      <w:pPr>
        <w:numPr>
          <w:ilvl w:val="0"/>
          <w:numId w:val="10"/>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小组：某一类话题或兴趣点（例如计算机、电影、电子产品等）跟别人交流的场所。用户可以自己创建小组，可以设定小组名称、介绍、加入的权限，权限包括公开加入、邀请加入、审批加入等。用户可以浏览和发现小组。进入小组后，可以参与小组的讨论，查看小组成员。</w:t>
      </w:r>
    </w:p>
    <w:p w14:paraId="7231C34C">
      <w:pPr>
        <w:numPr>
          <w:ilvl w:val="0"/>
          <w:numId w:val="10"/>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问卷调查：学校、老师可以向学生发起一个问卷调查，问卷可以发送给不同范围的学生，学生在线提交，问卷结果可以进行数据的统计分析，如各选项的选择人数等。</w:t>
      </w:r>
    </w:p>
    <w:p w14:paraId="34A37759">
      <w:pPr>
        <w:numPr>
          <w:ilvl w:val="0"/>
          <w:numId w:val="10"/>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PBL教学：PBL教学是以问题为基础、以学生为中心、教师为引导、学生自主学习的教学模式。以下功能便于开展此类教学。</w:t>
      </w:r>
    </w:p>
    <w:p w14:paraId="27395947">
      <w:pPr>
        <w:numPr>
          <w:ilvl w:val="0"/>
          <w:numId w:val="10"/>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分组管理：与本项目的学生数据、以及教师数据同步；支持自动随机分组和手动分组方式，并能够有效防止某学生重复分组；可查看历史小组的小组成员信息、小组历史文件、小组历史论坛内容、小组历史评论等；支持分配小组教师，教师同时允许兼任多个小组；其中小组教师只允许是课程教师、共建教师以及有相应权限的助教。</w:t>
      </w:r>
    </w:p>
    <w:p w14:paraId="3619097D">
      <w:pPr>
        <w:numPr>
          <w:ilvl w:val="0"/>
          <w:numId w:val="10"/>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小组文件管理：可以上传小组文件；可下载某时间段内某小组所有文件；小组教师可以批阅本小组学生的文件；小组学生查看批阅信息。</w:t>
      </w:r>
    </w:p>
    <w:p w14:paraId="75CE84E2">
      <w:pPr>
        <w:numPr>
          <w:ilvl w:val="0"/>
          <w:numId w:val="10"/>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小组论坛：支持小组教师在本小组内发表论题、维护论题、回复论题；支持小组学生在本小组内发表论题、回复论题；允许小组教师和小组学生查看其他小组论题。</w:t>
      </w:r>
    </w:p>
    <w:p w14:paraId="701B3A43">
      <w:pPr>
        <w:numPr>
          <w:ilvl w:val="0"/>
          <w:numId w:val="10"/>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小组评价：以小组为单位组织，小组内可以相互评价及查看评价结果</w:t>
      </w:r>
      <w:r>
        <w:rPr>
          <w:rFonts w:hint="eastAsia" w:asciiTheme="minorEastAsia" w:hAnsiTheme="minorEastAsia" w:cstheme="minorEastAsia"/>
          <w:bCs/>
          <w:color w:val="000000" w:themeColor="text1"/>
          <w:sz w:val="28"/>
          <w:szCs w:val="28"/>
          <w:lang w:eastAsia="zh-CN"/>
        </w:rPr>
        <w:t>，</w:t>
      </w:r>
      <w:r>
        <w:rPr>
          <w:rFonts w:hint="eastAsia" w:asciiTheme="minorEastAsia" w:hAnsiTheme="minorEastAsia" w:cstheme="minorEastAsia"/>
          <w:bCs/>
          <w:color w:val="000000" w:themeColor="text1"/>
          <w:sz w:val="28"/>
          <w:szCs w:val="28"/>
        </w:rPr>
        <w:t>允许课程教师查看所有小组的评价</w:t>
      </w:r>
      <w:r>
        <w:rPr>
          <w:rFonts w:hint="eastAsia" w:asciiTheme="minorEastAsia" w:hAnsiTheme="minorEastAsia" w:cstheme="minorEastAsia"/>
          <w:bCs/>
          <w:color w:val="000000" w:themeColor="text1"/>
          <w:sz w:val="28"/>
          <w:szCs w:val="28"/>
          <w:lang w:eastAsia="zh-CN"/>
        </w:rPr>
        <w:t>。</w:t>
      </w:r>
    </w:p>
    <w:p w14:paraId="3503B213">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8）评测考核资源：提供每门专业核心课程建设试题库，且题库试题需覆盖课程标准全部教学内容；新增综合实践能力的题型，根据岗位人才标准和要求，支持与建设单位共同研制职业能力考核评价标准，开发职业能力考核评价试题，开展职业能力训练和测试的具体步骤和计划。</w:t>
      </w:r>
    </w:p>
    <w:p w14:paraId="25CD53E5">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9）提供虚拟教学团队管理平台：提供资源库平台的动态开放跨校跨区域的虚拟教学团队，探索突破时空限制、高效便捷、形式多样的集体备课、研讨等教研活动，全面提升教师数字化教学能力，培育一批数字化专业教学研究和实践成果，引领带动本专业领域教育教学改革创新。</w:t>
      </w:r>
    </w:p>
    <w:p w14:paraId="3B1C131E">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10）资源推广：全流程资源库运营服务深度覆盖了从内容策划、资源整合、平台维护直至用户互动的所有关键环节，确保资源库能够持续、高效地为用户提供高质量的学习资源。协助内容策划团队根据市场需求及用户偏好，精心策划并开发各类课程和资源，以满足不同学习者的需求；资源整合环节则致力于将各类优质教育资源进行有效整合，形成一个系统化、结构化的知识库，方便用户快速查找和学习；平台维护团队则负责确保资源库的稳定运行，不断优化用户体验，提升平台的易用性和安全性；为了进一步扩大资源库的影响力，支持对接课程或资源库的推广平台，推广平台通过精准的市场定位和多元化的推广策略，全方位提升资源库的知名度和用户粘性，吸引更多的学习者在线学习。</w:t>
      </w:r>
    </w:p>
    <w:p w14:paraId="15003CCE">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11）资源审核机制：健全完善资源审核机制，依据《中华人民共和国网络安全法》《网络音视频信息服务管理规定《出版管理条例》《网络视听节目内容审核通则》《网络短视频内容审核标准细则》《图书、期刊、音像制品、电子出版物重大选题备案办法》《地图审核管理规定》《互联网出版管理暂行规定》等法律法规和政策文件，加强资源的政治性、科学性、适用性、规范性审核，确保资源政治导向、价值取向、审美导向正确，内容真实、客观科学。</w:t>
      </w:r>
    </w:p>
    <w:p w14:paraId="70E628FC">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12）应用推广：在资源库平台上支持运用于专业教学、实习实训、技能培训、生产现场和日常生活等场景中使用资源库，推动专业教学改革，提高教育教学效率和质量;积极为其他职业学校、普通高校、行业企业、科研院所和社会学习者提供服务，实现优质资源共享，扩大优质资源受益群体覆盖面。</w:t>
      </w:r>
    </w:p>
    <w:p w14:paraId="7E209C7C">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13）数据统计：资源库平台提供详细的资源建设情况、统计分析功能和课程相关统计分析功能，确保这些功能能够全面覆盖资源的建设过程，包括但不限于资源类型、数量、分布、利用效率等方面。根据课程的相关统计分析功能严格监控资源库文本类和图形(图像)类资源数量占比是否高于国家级资源库建设标准、每年更新比例是否低于国家级资源库建设标准、建立课程素材的技术规范统一命名规则，标注含有专业名称、课程名称、知识(技能)名称、是否原创等属性字段等。</w:t>
      </w:r>
    </w:p>
    <w:p w14:paraId="269BD221">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14）站点管理：为资源库管理员、教师用户、学生用户、社会用户、企业用户提供智能在线问答，解答资源库相关的各种问题及资源推荐和平台原有基础上对于专栏支持自定义增删改查，对资料上传支持设置管理员权限。</w:t>
      </w:r>
    </w:p>
    <w:p w14:paraId="0A0492D6">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15）用户管理：在用户管理功能中，支持对当前专业资源库的注册用户进行管理。包括四种角色：教师用户、学生用户、企业用户、社会用户等。可实现添加各类用户并对用户信息进行查看、筛选和删除操作，如下：</w:t>
      </w:r>
    </w:p>
    <w:p w14:paraId="5C93E271">
      <w:pPr>
        <w:numPr>
          <w:ilvl w:val="0"/>
          <w:numId w:val="11"/>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支持转化用户，将已毕业的学生批量转化为社会或企业用户。</w:t>
      </w:r>
    </w:p>
    <w:p w14:paraId="385240B1">
      <w:pPr>
        <w:numPr>
          <w:ilvl w:val="0"/>
          <w:numId w:val="11"/>
        </w:numPr>
        <w:tabs>
          <w:tab w:val="left" w:pos="567"/>
        </w:tabs>
        <w:spacing w:line="360" w:lineRule="auto"/>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支持添加共建单位用户，支持批量添加或导入。支持导入社会用户及企业用户。</w:t>
      </w:r>
    </w:p>
    <w:p w14:paraId="402B4FB6">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16）权限管理：资源审核设置和资源使用设置两部分，可以实现对资源审核和使用权限的管理。资源审核设置功能支持对任务型和非任务型上传者上传的课程、素材进行审核开关设置，默认都是“手动审核”，同时支持变更为“自动审核”。资源使用设置功能支持对教师用户、学生用户、企业用户、社会用户和游客用户的使用权限进行配置。包括是否允许素材浏览、素材下载、素材收藏、添加至课程资料、添加至课程章节、素材分享、素材评论、示范教学包浏览、示范教学包引用等。</w:t>
      </w:r>
    </w:p>
    <w:p w14:paraId="515737A1">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（17）超盾安全检测：</w:t>
      </w:r>
    </w:p>
    <w:p w14:paraId="1FF54082">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①课程内容检测。包括老师在网络课程平台所建设的课程文字、图片、文档、视频等进行自动检测。</w:t>
      </w:r>
    </w:p>
    <w:p w14:paraId="52F9B15A">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②颗粒化资源检测。对于学院所建设资源库的颗粒化资源自动检测。</w:t>
      </w:r>
    </w:p>
    <w:p w14:paraId="29FB5F50">
      <w:pPr>
        <w:tabs>
          <w:tab w:val="left" w:pos="567"/>
        </w:tabs>
        <w:spacing w:line="360" w:lineRule="auto"/>
        <w:ind w:firstLine="560" w:firstLineChars="200"/>
        <w:rPr>
          <w:rFonts w:asciiTheme="minorEastAsia" w:hAnsiTheme="minorEastAsia" w:cstheme="minorEastAsia"/>
          <w:bCs/>
          <w:color w:val="000000" w:themeColor="text1"/>
          <w:sz w:val="28"/>
          <w:szCs w:val="28"/>
        </w:rPr>
      </w:pPr>
      <w:r>
        <w:rPr>
          <w:rFonts w:hint="eastAsia" w:asciiTheme="minorEastAsia" w:hAnsiTheme="minorEastAsia" w:cstheme="minorEastAsia"/>
          <w:bCs/>
          <w:color w:val="000000" w:themeColor="text1"/>
          <w:sz w:val="28"/>
          <w:szCs w:val="28"/>
        </w:rPr>
        <w:t>③舆情风险检测。对于色情、低俗、广告、暴恐等舆情风险自动检测。</w:t>
      </w:r>
    </w:p>
    <w:bookmarkEnd w:id="23"/>
    <w:bookmarkEnd w:id="24"/>
    <w:p w14:paraId="5F184173">
      <w:pPr>
        <w:tabs>
          <w:tab w:val="left" w:pos="709"/>
          <w:tab w:val="left" w:pos="851"/>
        </w:tabs>
        <w:spacing w:before="120" w:after="120" w:line="276" w:lineRule="auto"/>
        <w:ind w:firstLine="560" w:firstLineChars="200"/>
        <w:jc w:val="left"/>
      </w:pPr>
      <w:r>
        <w:rPr>
          <w:rFonts w:hint="eastAsia" w:ascii="宋体" w:hAnsi="宋体" w:cs="Arial"/>
          <w:sz w:val="28"/>
          <w:szCs w:val="28"/>
        </w:rPr>
        <w:t>（二）服务时间：合同签定后30个工作日内完成专业教学资源库平台建设并通过验收交付使用；售后服务期限自合同生效之日起1年内有效。</w:t>
      </w:r>
      <w:bookmarkStart w:id="25" w:name="_Toc191654842"/>
    </w:p>
    <w:bookmarkEnd w:id="19"/>
    <w:bookmarkEnd w:id="22"/>
    <w:bookmarkEnd w:id="25"/>
    <w:p w14:paraId="6C6DD09A">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14:paraId="706B1E1F">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（一）合同协议生效后10个工作日内用户方向中标供应商支付合同额的70%。</w:t>
      </w:r>
    </w:p>
    <w:p w14:paraId="0AFCF4CB">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（二）验收合格后凭正式发票支付剩余合同金额的30%。</w:t>
      </w:r>
    </w:p>
    <w:p w14:paraId="161B8CF9">
      <w:pPr>
        <w:numPr>
          <w:ilvl w:val="255"/>
          <w:numId w:val="0"/>
        </w:numPr>
        <w:spacing w:line="360" w:lineRule="auto"/>
        <w:ind w:firstLine="560" w:firstLineChars="200"/>
        <w:jc w:val="left"/>
        <w:rPr>
          <w:rFonts w:ascii="宋体" w:hAnsi="宋体" w:cs="宋体"/>
          <w:b/>
          <w:bCs/>
          <w:sz w:val="28"/>
          <w:szCs w:val="28"/>
        </w:rPr>
      </w:pPr>
      <w:r>
        <w:rPr>
          <w:rFonts w:hint="eastAsia" w:ascii="宋体" w:hAnsi="宋体" w:cs="宋体"/>
          <w:sz w:val="28"/>
          <w:szCs w:val="28"/>
        </w:rPr>
        <w:t>（三）供应商须严格按照合同要求完成平台建设并交付使用。</w:t>
      </w:r>
    </w:p>
    <w:p w14:paraId="65C46B9B">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其他要求：</w:t>
      </w:r>
    </w:p>
    <w:p w14:paraId="6621914E">
      <w:pPr>
        <w:spacing w:line="360" w:lineRule="auto"/>
        <w:ind w:firstLine="560" w:firstLineChars="200"/>
        <w:rPr>
          <w:rFonts w:ascii="宋体" w:hAnsi="宋体" w:cs="宋体"/>
          <w:sz w:val="28"/>
          <w:szCs w:val="28"/>
        </w:rPr>
      </w:pPr>
      <w:r>
        <w:rPr>
          <w:rFonts w:hint="eastAsia" w:ascii="宋体" w:hAnsi="宋体" w:cs="宋体"/>
          <w:sz w:val="28"/>
          <w:szCs w:val="28"/>
        </w:rPr>
        <w:t>（一）中标供应商须严格按照合同要求完成平台建设并交付使用。</w:t>
      </w:r>
    </w:p>
    <w:p w14:paraId="67209E57">
      <w:pPr>
        <w:spacing w:line="360" w:lineRule="auto"/>
        <w:ind w:firstLine="560" w:firstLineChars="200"/>
        <w:rPr>
          <w:rFonts w:ascii="宋体" w:hAnsi="宋体" w:cs="宋体"/>
          <w:sz w:val="28"/>
          <w:szCs w:val="28"/>
        </w:rPr>
      </w:pPr>
      <w:r>
        <w:rPr>
          <w:rFonts w:hint="eastAsia" w:ascii="宋体" w:hAnsi="宋体" w:cs="宋体"/>
          <w:sz w:val="28"/>
          <w:szCs w:val="28"/>
        </w:rPr>
        <w:t>（二）平台安装完成后，按照采购文件中要求的所有指标进行测试。</w:t>
      </w:r>
    </w:p>
    <w:p w14:paraId="19505EA3">
      <w:pPr>
        <w:spacing w:line="360" w:lineRule="auto"/>
        <w:ind w:firstLine="560" w:firstLineChars="200"/>
        <w:rPr>
          <w:rFonts w:ascii="宋体" w:hAnsi="宋体" w:cs="宋体"/>
          <w:sz w:val="28"/>
          <w:szCs w:val="28"/>
        </w:rPr>
      </w:pPr>
      <w:r>
        <w:rPr>
          <w:rFonts w:hint="eastAsia" w:ascii="宋体" w:hAnsi="宋体" w:cs="宋体"/>
          <w:sz w:val="28"/>
          <w:szCs w:val="28"/>
        </w:rPr>
        <w:t>（三）平台功能测试：根据测试方案进行测试，提交测试报告，由双方签字确认。平台发生故障或需要维修或需要更换时，接到故障通知4个小时内给予解答。如电话支持无法解决，中标供应商则须在4小时内到达现场处理并协助给出排除故障的策略。遇到重大技术问题，成交供应商应采取相应措施确保系统在8小时内恢复运行。</w:t>
      </w:r>
    </w:p>
    <w:p w14:paraId="164CE117">
      <w:pPr>
        <w:spacing w:line="360" w:lineRule="auto"/>
        <w:ind w:firstLine="560" w:firstLineChars="200"/>
        <w:rPr>
          <w:rFonts w:ascii="宋体" w:hAnsi="宋体" w:cs="宋体"/>
          <w:sz w:val="28"/>
          <w:szCs w:val="28"/>
        </w:rPr>
      </w:pPr>
      <w:r>
        <w:rPr>
          <w:rFonts w:hint="eastAsia" w:ascii="宋体" w:hAnsi="宋体" w:cs="宋体"/>
          <w:sz w:val="28"/>
          <w:szCs w:val="28"/>
        </w:rPr>
        <w:t>（四）服务期内，中标供应商须通过微信群或QQ群等方式保持常态化的及时咨询服务，具备提供本地化服务能力、需提供售后服务内容和售后服务流程及售后团队说明。</w:t>
      </w:r>
    </w:p>
    <w:p w14:paraId="605E9D56">
      <w:pPr>
        <w:spacing w:line="360" w:lineRule="auto"/>
        <w:ind w:firstLine="560" w:firstLineChars="200"/>
        <w:rPr>
          <w:rFonts w:ascii="宋体" w:hAnsi="宋体" w:cs="宋体"/>
          <w:sz w:val="28"/>
          <w:szCs w:val="28"/>
        </w:rPr>
      </w:pPr>
      <w:r>
        <w:rPr>
          <w:rFonts w:hint="eastAsia" w:ascii="宋体" w:hAnsi="宋体" w:cs="宋体"/>
          <w:sz w:val="28"/>
          <w:szCs w:val="28"/>
        </w:rPr>
        <w:t>（五）服务期满后，专业教学资源库平台可继续使用，如涉及订制开发，费用另行商定。</w:t>
      </w:r>
    </w:p>
    <w:p w14:paraId="2B98DD28">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14:paraId="7AB6BD5F">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6F7B68C3">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441FA187">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43A69156">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报价文件内容</w:t>
      </w:r>
    </w:p>
    <w:p w14:paraId="505058A3">
      <w:pPr>
        <w:spacing w:line="360" w:lineRule="auto"/>
        <w:ind w:firstLine="560" w:firstLineChars="200"/>
        <w:jc w:val="left"/>
        <w:rPr>
          <w:rFonts w:ascii="宋体" w:hAnsi="宋体" w:cs="宋体"/>
          <w:sz w:val="28"/>
          <w:szCs w:val="28"/>
        </w:rPr>
      </w:pPr>
      <w:r>
        <w:rPr>
          <w:rFonts w:hint="eastAsia" w:ascii="宋体" w:hAnsi="宋体" w:cs="宋体"/>
          <w:sz w:val="28"/>
          <w:szCs w:val="28"/>
        </w:rPr>
        <w:t>（一）按要求提交加盖报价供应商公章的《报价一览表》（附件1）。</w:t>
      </w:r>
    </w:p>
    <w:p w14:paraId="15D475F4">
      <w:pPr>
        <w:spacing w:line="360" w:lineRule="auto"/>
        <w:ind w:firstLine="560" w:firstLineChars="200"/>
        <w:jc w:val="left"/>
        <w:rPr>
          <w:rFonts w:ascii="宋体" w:hAnsi="宋体" w:cs="宋体"/>
          <w:sz w:val="28"/>
          <w:szCs w:val="28"/>
        </w:rPr>
      </w:pPr>
      <w:r>
        <w:rPr>
          <w:rFonts w:hint="eastAsia" w:ascii="宋体" w:hAnsi="宋体" w:cs="宋体"/>
          <w:sz w:val="28"/>
          <w:szCs w:val="28"/>
        </w:rPr>
        <w:t>（二）按要求提交加盖报价供应商公章的《报价明细表》（附件2）。</w:t>
      </w:r>
    </w:p>
    <w:p w14:paraId="37C6D3AA">
      <w:pPr>
        <w:pStyle w:val="3"/>
        <w:spacing w:before="0" w:after="0" w:line="360" w:lineRule="auto"/>
        <w:ind w:firstLine="560" w:firstLineChars="200"/>
        <w:rPr>
          <w:rFonts w:ascii="宋体" w:hAnsi="宋体" w:cs="宋体"/>
          <w:b w:val="0"/>
          <w:szCs w:val="28"/>
        </w:rPr>
      </w:pPr>
      <w:r>
        <w:rPr>
          <w:rFonts w:hint="eastAsia" w:ascii="宋体" w:hAnsi="宋体" w:cs="宋体"/>
          <w:b w:val="0"/>
          <w:szCs w:val="28"/>
        </w:rPr>
        <w:t>（三）按要求提交加盖报价供应商公章的《</w:t>
      </w:r>
      <w:r>
        <w:rPr>
          <w:rFonts w:hint="eastAsia" w:ascii="宋体" w:hAnsi="宋体" w:cs="宋体"/>
          <w:b w:val="0"/>
          <w:bCs/>
          <w:szCs w:val="28"/>
        </w:rPr>
        <w:t>承诺书</w:t>
      </w:r>
      <w:r>
        <w:rPr>
          <w:rFonts w:hint="eastAsia" w:ascii="宋体" w:hAnsi="宋体" w:cs="宋体"/>
          <w:b w:val="0"/>
          <w:szCs w:val="28"/>
        </w:rPr>
        <w:t>》（附件3）。</w:t>
      </w:r>
    </w:p>
    <w:p w14:paraId="7B19F124">
      <w:pPr>
        <w:spacing w:line="360" w:lineRule="auto"/>
        <w:ind w:firstLine="560" w:firstLineChars="200"/>
        <w:jc w:val="left"/>
        <w:rPr>
          <w:rFonts w:ascii="宋体" w:hAnsi="宋体" w:cs="宋体"/>
          <w:sz w:val="28"/>
          <w:szCs w:val="28"/>
        </w:rPr>
      </w:pPr>
      <w:r>
        <w:rPr>
          <w:rFonts w:hint="eastAsia" w:ascii="宋体" w:hAnsi="宋体" w:cs="宋体"/>
          <w:sz w:val="28"/>
          <w:szCs w:val="28"/>
        </w:rPr>
        <w:t>（四）提交企业法人《营业执照》副本或事业单位法人证书或法人登记证书复印件，并加盖报价供应商公章。</w:t>
      </w:r>
    </w:p>
    <w:p w14:paraId="79896B38">
      <w:pPr>
        <w:spacing w:line="360" w:lineRule="auto"/>
        <w:ind w:firstLine="560" w:firstLineChars="200"/>
        <w:jc w:val="left"/>
        <w:rPr>
          <w:rFonts w:ascii="宋体" w:hAnsi="宋体" w:cs="宋体"/>
          <w:sz w:val="28"/>
          <w:szCs w:val="28"/>
        </w:rPr>
      </w:pPr>
      <w:r>
        <w:rPr>
          <w:rFonts w:hint="eastAsia" w:ascii="宋体" w:hAnsi="宋体" w:cs="宋体"/>
          <w:sz w:val="28"/>
          <w:szCs w:val="28"/>
        </w:rPr>
        <w:t>（五）供应商所递交的报价文件须密封完好，并且在封面填写项目名称；采购人拒收没有密封完好的报价文件。</w:t>
      </w:r>
    </w:p>
    <w:p w14:paraId="4C007D3B">
      <w:pPr>
        <w:rPr>
          <w:rFonts w:ascii="宋体" w:hAnsi="宋体" w:cs="宋体"/>
          <w:b/>
          <w:sz w:val="24"/>
        </w:rPr>
      </w:pPr>
      <w:r>
        <w:rPr>
          <w:rFonts w:hint="eastAsia" w:ascii="宋体" w:hAnsi="宋体" w:cs="宋体"/>
          <w:b/>
          <w:sz w:val="24"/>
        </w:rPr>
        <w:br w:type="page"/>
      </w:r>
    </w:p>
    <w:p w14:paraId="34461C27">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7834B4E6">
      <w:pPr>
        <w:tabs>
          <w:tab w:val="left" w:pos="8100"/>
        </w:tabs>
        <w:adjustRightInd w:val="0"/>
        <w:snapToGrid w:val="0"/>
        <w:spacing w:line="348" w:lineRule="auto"/>
        <w:rPr>
          <w:rFonts w:ascii="宋体" w:hAnsi="宋体" w:cs="宋体"/>
          <w:b/>
          <w:sz w:val="24"/>
        </w:rPr>
      </w:pPr>
    </w:p>
    <w:p w14:paraId="19C1C445">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067B9F94">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2"/>
        <w:tblW w:w="9348" w:type="dxa"/>
        <w:jc w:val="center"/>
        <w:tblLayout w:type="fixed"/>
        <w:tblCellMar>
          <w:top w:w="0" w:type="dxa"/>
          <w:left w:w="30" w:type="dxa"/>
          <w:bottom w:w="0" w:type="dxa"/>
          <w:right w:w="30" w:type="dxa"/>
        </w:tblCellMar>
      </w:tblPr>
      <w:tblGrid>
        <w:gridCol w:w="2549"/>
        <w:gridCol w:w="6799"/>
      </w:tblGrid>
      <w:tr w14:paraId="54FF7B0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487500FD">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783CF496">
            <w:pPr>
              <w:autoSpaceDE w:val="0"/>
              <w:autoSpaceDN w:val="0"/>
              <w:adjustRightInd w:val="0"/>
              <w:spacing w:line="480" w:lineRule="exact"/>
              <w:jc w:val="center"/>
              <w:rPr>
                <w:rFonts w:ascii="宋体" w:hAnsi="宋体"/>
                <w:sz w:val="24"/>
              </w:rPr>
            </w:pPr>
            <w:r>
              <w:rPr>
                <w:rFonts w:hint="eastAsia" w:ascii="宋体" w:hAnsi="宋体"/>
                <w:sz w:val="24"/>
              </w:rPr>
              <w:t>广东生态工程职业学院</w:t>
            </w:r>
            <w:r>
              <w:rPr>
                <w:rFonts w:hint="eastAsia" w:ascii="宋体" w:hAnsi="宋体" w:eastAsia="宋体" w:cs="宋体"/>
                <w:sz w:val="24"/>
              </w:rPr>
              <w:t>海</w:t>
            </w:r>
            <w:r>
              <w:rPr>
                <w:rFonts w:hint="eastAsia" w:ascii="宋体" w:hAnsi="宋体"/>
                <w:sz w:val="24"/>
              </w:rPr>
              <w:t>洋与渔业学院援外培训专业教学资源库平台二期建设采购项目</w:t>
            </w:r>
          </w:p>
        </w:tc>
      </w:tr>
      <w:tr w14:paraId="520B9739">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4E44B5F2">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788FFBA">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01C91890">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5C0482F7">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7B2BAC1B">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5ADEA75E">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28A61269">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7872AAB6">
            <w:pPr>
              <w:autoSpaceDE w:val="0"/>
              <w:autoSpaceDN w:val="0"/>
              <w:adjustRightInd w:val="0"/>
              <w:spacing w:line="480" w:lineRule="exact"/>
              <w:jc w:val="center"/>
              <w:rPr>
                <w:rFonts w:ascii="宋体" w:hAnsi="宋体"/>
                <w:sz w:val="24"/>
              </w:rPr>
            </w:pPr>
          </w:p>
        </w:tc>
      </w:tr>
    </w:tbl>
    <w:p w14:paraId="1357DAC4">
      <w:pPr>
        <w:pStyle w:val="6"/>
        <w:spacing w:line="480" w:lineRule="exact"/>
        <w:ind w:firstLine="100" w:firstLineChars="50"/>
        <w:rPr>
          <w:rFonts w:hAnsi="宋体"/>
        </w:rPr>
      </w:pPr>
      <w:r>
        <w:rPr>
          <w:rFonts w:hint="eastAsia" w:hAnsi="宋体"/>
        </w:rPr>
        <w:t>注：</w:t>
      </w:r>
    </w:p>
    <w:p w14:paraId="0EEC3ED0">
      <w:pPr>
        <w:pStyle w:val="6"/>
        <w:numPr>
          <w:ilvl w:val="0"/>
          <w:numId w:val="12"/>
        </w:numPr>
        <w:spacing w:line="0" w:lineRule="atLeast"/>
        <w:rPr>
          <w:rFonts w:hAnsi="宋体"/>
        </w:rPr>
      </w:pPr>
      <w:r>
        <w:rPr>
          <w:rFonts w:hint="eastAsia" w:hAnsi="宋体"/>
        </w:rPr>
        <w:t>本表报价包含完成本项目应预见和不可预见的一切含税费用。</w:t>
      </w:r>
    </w:p>
    <w:p w14:paraId="17C275DA">
      <w:pPr>
        <w:pStyle w:val="6"/>
        <w:numPr>
          <w:ilvl w:val="0"/>
          <w:numId w:val="12"/>
        </w:numPr>
        <w:spacing w:line="0" w:lineRule="atLeast"/>
        <w:rPr>
          <w:rFonts w:hAnsi="宋体"/>
        </w:rPr>
      </w:pPr>
      <w:r>
        <w:rPr>
          <w:rFonts w:hint="eastAsia"/>
        </w:rPr>
        <w:t>填写此表时不得改变表格的形式。</w:t>
      </w:r>
    </w:p>
    <w:p w14:paraId="413DAF96">
      <w:pPr>
        <w:pStyle w:val="6"/>
        <w:numPr>
          <w:ilvl w:val="0"/>
          <w:numId w:val="12"/>
        </w:numPr>
        <w:spacing w:line="0" w:lineRule="atLeast"/>
        <w:rPr>
          <w:rFonts w:hAnsi="宋体"/>
        </w:rPr>
      </w:pPr>
      <w:r>
        <w:rPr>
          <w:rFonts w:hint="eastAsia"/>
        </w:rPr>
        <w:t>以上表中内容必须计算机录入、填写、打印。手写按无效报价处理。</w:t>
      </w:r>
    </w:p>
    <w:p w14:paraId="5A7F9237">
      <w:pPr>
        <w:pStyle w:val="6"/>
        <w:numPr>
          <w:ilvl w:val="0"/>
          <w:numId w:val="12"/>
        </w:numPr>
        <w:spacing w:line="0" w:lineRule="atLeast"/>
      </w:pPr>
      <w:r>
        <w:rPr>
          <w:rFonts w:hint="eastAsia"/>
        </w:rPr>
        <w:t>必须满足服务内容、质保期等服务要求。</w:t>
      </w:r>
    </w:p>
    <w:p w14:paraId="57A8C075">
      <w:pPr>
        <w:pStyle w:val="6"/>
        <w:spacing w:line="0" w:lineRule="atLeast"/>
        <w:ind w:left="336"/>
        <w:rPr>
          <w:rFonts w:hAnsi="宋体"/>
          <w:color w:val="FF0000"/>
        </w:rPr>
      </w:pPr>
    </w:p>
    <w:p w14:paraId="36DE3101"/>
    <w:p w14:paraId="25970240"/>
    <w:p w14:paraId="2338F1A8">
      <w:pPr>
        <w:spacing w:line="480" w:lineRule="exact"/>
        <w:ind w:left="4599" w:leftChars="2190" w:firstLine="240" w:firstLineChars="100"/>
        <w:rPr>
          <w:rFonts w:ascii="宋体" w:hAnsi="宋体" w:cs="宋体"/>
          <w:sz w:val="24"/>
        </w:rPr>
      </w:pPr>
    </w:p>
    <w:p w14:paraId="4499B752">
      <w:pPr>
        <w:spacing w:line="480" w:lineRule="exact"/>
        <w:ind w:firstLine="4560" w:firstLineChars="1900"/>
        <w:rPr>
          <w:rFonts w:ascii="宋体" w:hAnsi="宋体" w:cs="宋体"/>
          <w:sz w:val="24"/>
        </w:rPr>
      </w:pPr>
      <w:r>
        <w:rPr>
          <w:rFonts w:hint="eastAsia" w:ascii="宋体" w:hAnsi="宋体" w:cs="宋体"/>
          <w:sz w:val="24"/>
        </w:rPr>
        <w:t>投标人（公章）：</w:t>
      </w:r>
    </w:p>
    <w:p w14:paraId="492713BF">
      <w:pPr>
        <w:spacing w:line="480" w:lineRule="exact"/>
        <w:ind w:firstLine="4560" w:firstLineChars="1900"/>
        <w:rPr>
          <w:rFonts w:ascii="宋体" w:hAnsi="宋体" w:cs="宋体"/>
          <w:sz w:val="24"/>
        </w:rPr>
      </w:pPr>
      <w:r>
        <w:rPr>
          <w:rFonts w:hint="eastAsia" w:ascii="宋体" w:hAnsi="宋体" w:cs="宋体"/>
          <w:sz w:val="24"/>
        </w:rPr>
        <w:t>投标人地址：</w:t>
      </w:r>
    </w:p>
    <w:p w14:paraId="7CBCFE3F">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767824EE">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752DE94E">
      <w:pPr>
        <w:spacing w:line="480" w:lineRule="exact"/>
        <w:ind w:firstLine="4560" w:firstLineChars="1900"/>
        <w:rPr>
          <w:rFonts w:ascii="宋体" w:hAnsi="宋体" w:cs="宋体"/>
          <w:sz w:val="24"/>
        </w:rPr>
      </w:pPr>
      <w:r>
        <w:rPr>
          <w:rFonts w:hint="eastAsia" w:ascii="宋体" w:hAnsi="宋体" w:cs="宋体"/>
          <w:sz w:val="24"/>
        </w:rPr>
        <w:t>联系电话：</w:t>
      </w:r>
    </w:p>
    <w:p w14:paraId="2E052686">
      <w:pPr>
        <w:spacing w:line="480" w:lineRule="exact"/>
        <w:ind w:firstLine="4560" w:firstLineChars="1900"/>
        <w:rPr>
          <w:rFonts w:ascii="宋体" w:hAnsi="宋体" w:cs="宋体"/>
          <w:sz w:val="24"/>
        </w:rPr>
      </w:pPr>
      <w:r>
        <w:rPr>
          <w:rFonts w:hint="eastAsia" w:ascii="宋体" w:hAnsi="宋体" w:cs="宋体"/>
          <w:sz w:val="24"/>
        </w:rPr>
        <w:t>日    期：</w:t>
      </w:r>
    </w:p>
    <w:p w14:paraId="1D48FF95">
      <w:pPr>
        <w:rPr>
          <w:rFonts w:ascii="宋体" w:hAnsi="宋体" w:cs="宋体"/>
          <w:sz w:val="24"/>
        </w:rPr>
      </w:pPr>
    </w:p>
    <w:p w14:paraId="2BF778B8">
      <w:pPr>
        <w:rPr>
          <w:rFonts w:ascii="宋体" w:hAnsi="宋体" w:cs="宋体"/>
          <w:sz w:val="24"/>
        </w:rPr>
      </w:pPr>
    </w:p>
    <w:p w14:paraId="02E4C02A">
      <w:pPr>
        <w:pStyle w:val="9"/>
      </w:pPr>
    </w:p>
    <w:p w14:paraId="16587307">
      <w:pPr>
        <w:rPr>
          <w:rFonts w:ascii="宋体" w:hAnsi="宋体" w:cs="宋体"/>
          <w:b/>
          <w:sz w:val="24"/>
        </w:rPr>
      </w:pPr>
      <w:bookmarkStart w:id="26" w:name="OLE_LINK15"/>
      <w:bookmarkStart w:id="27" w:name="OLE_LINK16"/>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bookmarkStart w:id="28" w:name="OLE_LINK28"/>
      <w:bookmarkStart w:id="29" w:name="OLE_LINK27"/>
      <w:r>
        <w:rPr>
          <w:rFonts w:hint="eastAsia" w:ascii="宋体" w:hAnsi="宋体" w:cs="宋体"/>
          <w:b/>
          <w:sz w:val="24"/>
        </w:rPr>
        <w:t>（代理人签名需提供法定代表人授权证明）</w:t>
      </w:r>
      <w:bookmarkEnd w:id="28"/>
      <w:bookmarkEnd w:id="29"/>
      <w:r>
        <w:rPr>
          <w:rFonts w:hint="eastAsia" w:ascii="宋体" w:hAnsi="宋体" w:cs="宋体"/>
          <w:b/>
          <w:sz w:val="24"/>
        </w:rPr>
        <w:t>，否则作无效处理）</w:t>
      </w:r>
    </w:p>
    <w:bookmarkEnd w:id="26"/>
    <w:bookmarkEnd w:id="27"/>
    <w:p w14:paraId="54B13CE1">
      <w:pPr>
        <w:rPr>
          <w:rFonts w:ascii="宋体" w:hAnsi="宋体" w:cs="宋体"/>
          <w:b/>
          <w:sz w:val="24"/>
        </w:rPr>
      </w:pPr>
      <w:r>
        <w:rPr>
          <w:rFonts w:hint="eastAsia" w:ascii="宋体" w:hAnsi="宋体" w:cs="宋体"/>
          <w:b/>
          <w:sz w:val="24"/>
        </w:rPr>
        <w:br w:type="page"/>
      </w:r>
      <w:r>
        <w:rPr>
          <w:rFonts w:hint="eastAsia" w:ascii="宋体" w:hAnsi="宋体" w:cs="宋体"/>
          <w:b/>
          <w:sz w:val="24"/>
        </w:rPr>
        <w:t>附件2</w:t>
      </w:r>
    </w:p>
    <w:p w14:paraId="4F60FE91">
      <w:pPr>
        <w:spacing w:line="560" w:lineRule="exact"/>
        <w:jc w:val="center"/>
        <w:rPr>
          <w:rFonts w:ascii="宋体" w:hAnsi="宋体"/>
          <w:b/>
          <w:sz w:val="28"/>
          <w:szCs w:val="28"/>
        </w:rPr>
      </w:pPr>
      <w:r>
        <w:rPr>
          <w:rFonts w:hint="eastAsia" w:ascii="宋体" w:hAnsi="宋体"/>
          <w:b/>
          <w:sz w:val="28"/>
          <w:szCs w:val="28"/>
        </w:rPr>
        <w:t xml:space="preserve">报价明细表    </w:t>
      </w:r>
    </w:p>
    <w:p w14:paraId="65282AC0">
      <w:pPr>
        <w:spacing w:line="560" w:lineRule="exact"/>
        <w:jc w:val="center"/>
        <w:rPr>
          <w:rFonts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2"/>
        <w:tblW w:w="9347" w:type="dxa"/>
        <w:tblInd w:w="-358" w:type="dxa"/>
        <w:tblLayout w:type="fixed"/>
        <w:tblCellMar>
          <w:top w:w="0" w:type="dxa"/>
          <w:left w:w="108" w:type="dxa"/>
          <w:bottom w:w="0" w:type="dxa"/>
          <w:right w:w="108" w:type="dxa"/>
        </w:tblCellMar>
      </w:tblPr>
      <w:tblGrid>
        <w:gridCol w:w="613"/>
        <w:gridCol w:w="1334"/>
        <w:gridCol w:w="1346"/>
        <w:gridCol w:w="4974"/>
        <w:gridCol w:w="1080"/>
      </w:tblGrid>
      <w:tr w14:paraId="735EF710">
        <w:tblPrEx>
          <w:tblCellMar>
            <w:top w:w="0" w:type="dxa"/>
            <w:left w:w="108" w:type="dxa"/>
            <w:bottom w:w="0" w:type="dxa"/>
            <w:right w:w="108" w:type="dxa"/>
          </w:tblCellMar>
        </w:tblPrEx>
        <w:trPr>
          <w:trHeight w:val="559" w:hRule="atLeast"/>
        </w:trPr>
        <w:tc>
          <w:tcPr>
            <w:tcW w:w="613" w:type="dxa"/>
            <w:tcBorders>
              <w:top w:val="single" w:color="auto" w:sz="4" w:space="0"/>
              <w:left w:val="single" w:color="auto" w:sz="4" w:space="0"/>
              <w:bottom w:val="single" w:color="auto" w:sz="4" w:space="0"/>
              <w:right w:val="single" w:color="auto" w:sz="4" w:space="0"/>
            </w:tcBorders>
            <w:noWrap/>
            <w:vAlign w:val="center"/>
          </w:tcPr>
          <w:p w14:paraId="157CD5A8">
            <w:pPr>
              <w:widowControl/>
              <w:jc w:val="center"/>
              <w:rPr>
                <w:rFonts w:ascii="宋体" w:hAnsi="宋体" w:cs="宋体"/>
                <w:b/>
                <w:bCs/>
                <w:kern w:val="0"/>
                <w:sz w:val="18"/>
                <w:szCs w:val="18"/>
              </w:rPr>
            </w:pPr>
            <w:r>
              <w:rPr>
                <w:rFonts w:hint="eastAsia" w:ascii="宋体" w:hAnsi="宋体" w:cs="宋体"/>
                <w:b/>
                <w:bCs/>
                <w:kern w:val="0"/>
                <w:sz w:val="18"/>
                <w:szCs w:val="18"/>
              </w:rPr>
              <w:t>序号</w:t>
            </w:r>
          </w:p>
        </w:tc>
        <w:tc>
          <w:tcPr>
            <w:tcW w:w="1334" w:type="dxa"/>
            <w:tcBorders>
              <w:top w:val="single" w:color="auto" w:sz="4" w:space="0"/>
              <w:left w:val="nil"/>
              <w:bottom w:val="single" w:color="auto" w:sz="4" w:space="0"/>
              <w:right w:val="single" w:color="auto" w:sz="4" w:space="0"/>
            </w:tcBorders>
            <w:noWrap/>
            <w:vAlign w:val="center"/>
          </w:tcPr>
          <w:p w14:paraId="15B71636">
            <w:pPr>
              <w:widowControl/>
              <w:jc w:val="center"/>
              <w:rPr>
                <w:rFonts w:ascii="宋体" w:hAnsi="宋体" w:cs="宋体"/>
                <w:b/>
                <w:bCs/>
                <w:kern w:val="0"/>
                <w:sz w:val="18"/>
                <w:szCs w:val="18"/>
              </w:rPr>
            </w:pPr>
            <w:r>
              <w:rPr>
                <w:rFonts w:hint="eastAsia" w:ascii="宋体" w:hAnsi="宋体" w:cs="宋体"/>
                <w:b/>
                <w:bCs/>
                <w:kern w:val="0"/>
                <w:sz w:val="18"/>
                <w:szCs w:val="18"/>
              </w:rPr>
              <w:t>名称</w:t>
            </w:r>
          </w:p>
        </w:tc>
        <w:tc>
          <w:tcPr>
            <w:tcW w:w="1346" w:type="dxa"/>
            <w:tcBorders>
              <w:top w:val="single" w:color="auto" w:sz="4" w:space="0"/>
              <w:left w:val="nil"/>
              <w:bottom w:val="single" w:color="auto" w:sz="4" w:space="0"/>
              <w:right w:val="single" w:color="auto" w:sz="4" w:space="0"/>
            </w:tcBorders>
            <w:noWrap/>
            <w:vAlign w:val="center"/>
          </w:tcPr>
          <w:p w14:paraId="24977EBB">
            <w:pPr>
              <w:widowControl/>
              <w:jc w:val="center"/>
              <w:rPr>
                <w:rFonts w:ascii="宋体" w:hAnsi="宋体" w:cs="宋体"/>
                <w:b/>
                <w:bCs/>
                <w:kern w:val="0"/>
                <w:sz w:val="18"/>
                <w:szCs w:val="18"/>
              </w:rPr>
            </w:pPr>
            <w:r>
              <w:rPr>
                <w:rFonts w:hint="eastAsia" w:ascii="宋体" w:hAnsi="宋体" w:cs="宋体"/>
                <w:b/>
                <w:bCs/>
                <w:kern w:val="0"/>
                <w:sz w:val="18"/>
                <w:szCs w:val="18"/>
              </w:rPr>
              <w:t>应用模块</w:t>
            </w:r>
          </w:p>
        </w:tc>
        <w:tc>
          <w:tcPr>
            <w:tcW w:w="4974" w:type="dxa"/>
            <w:tcBorders>
              <w:top w:val="single" w:color="auto" w:sz="4" w:space="0"/>
              <w:left w:val="nil"/>
              <w:bottom w:val="single" w:color="auto" w:sz="4" w:space="0"/>
              <w:right w:val="single" w:color="auto" w:sz="4" w:space="0"/>
            </w:tcBorders>
            <w:noWrap/>
            <w:vAlign w:val="center"/>
          </w:tcPr>
          <w:p w14:paraId="0F15C806">
            <w:pPr>
              <w:widowControl/>
              <w:jc w:val="center"/>
              <w:rPr>
                <w:rFonts w:ascii="宋体" w:hAnsi="宋体" w:cs="宋体"/>
                <w:b/>
                <w:bCs/>
                <w:kern w:val="0"/>
                <w:sz w:val="18"/>
                <w:szCs w:val="18"/>
              </w:rPr>
            </w:pPr>
            <w:r>
              <w:rPr>
                <w:rFonts w:hint="eastAsia" w:ascii="宋体" w:hAnsi="宋体" w:cs="宋体"/>
                <w:b/>
                <w:bCs/>
                <w:kern w:val="0"/>
                <w:sz w:val="18"/>
                <w:szCs w:val="18"/>
              </w:rPr>
              <w:t>模块内容</w:t>
            </w:r>
          </w:p>
        </w:tc>
        <w:tc>
          <w:tcPr>
            <w:tcW w:w="1080" w:type="dxa"/>
            <w:tcBorders>
              <w:top w:val="single" w:color="auto" w:sz="4" w:space="0"/>
              <w:left w:val="nil"/>
              <w:bottom w:val="single" w:color="auto" w:sz="4" w:space="0"/>
              <w:right w:val="single" w:color="auto" w:sz="4" w:space="0"/>
            </w:tcBorders>
            <w:vAlign w:val="center"/>
          </w:tcPr>
          <w:p w14:paraId="484D692B">
            <w:pPr>
              <w:widowControl/>
              <w:jc w:val="center"/>
              <w:rPr>
                <w:rFonts w:ascii="宋体" w:hAnsi="宋体" w:cs="宋体"/>
                <w:b/>
                <w:bCs/>
                <w:kern w:val="0"/>
                <w:sz w:val="18"/>
                <w:szCs w:val="18"/>
              </w:rPr>
            </w:pPr>
            <w:r>
              <w:rPr>
                <w:rFonts w:hint="eastAsia" w:ascii="宋体" w:hAnsi="宋体" w:cs="宋体"/>
                <w:b/>
                <w:bCs/>
                <w:kern w:val="0"/>
                <w:sz w:val="18"/>
                <w:szCs w:val="18"/>
              </w:rPr>
              <w:t>预算费用</w:t>
            </w:r>
          </w:p>
        </w:tc>
      </w:tr>
      <w:tr w14:paraId="41DE82FE">
        <w:tblPrEx>
          <w:tblCellMar>
            <w:top w:w="0" w:type="dxa"/>
            <w:left w:w="108" w:type="dxa"/>
            <w:bottom w:w="0" w:type="dxa"/>
            <w:right w:w="108" w:type="dxa"/>
          </w:tblCellMar>
        </w:tblPrEx>
        <w:trPr>
          <w:trHeight w:val="559" w:hRule="atLeast"/>
        </w:trPr>
        <w:tc>
          <w:tcPr>
            <w:tcW w:w="613" w:type="dxa"/>
            <w:vMerge w:val="restart"/>
            <w:tcBorders>
              <w:top w:val="nil"/>
              <w:left w:val="single" w:color="auto" w:sz="4" w:space="0"/>
              <w:right w:val="single" w:color="auto" w:sz="4" w:space="0"/>
            </w:tcBorders>
            <w:noWrap/>
            <w:vAlign w:val="center"/>
          </w:tcPr>
          <w:p w14:paraId="3FA239E9">
            <w:pPr>
              <w:widowControl/>
              <w:jc w:val="center"/>
              <w:rPr>
                <w:rFonts w:ascii="宋体" w:hAnsi="宋体" w:cs="宋体"/>
                <w:kern w:val="0"/>
                <w:sz w:val="18"/>
                <w:szCs w:val="18"/>
              </w:rPr>
            </w:pPr>
            <w:r>
              <w:rPr>
                <w:rFonts w:hint="eastAsia" w:ascii="宋体" w:hAnsi="宋体" w:cs="宋体"/>
                <w:kern w:val="0"/>
                <w:sz w:val="18"/>
                <w:szCs w:val="18"/>
              </w:rPr>
              <w:t>1</w:t>
            </w:r>
          </w:p>
        </w:tc>
        <w:tc>
          <w:tcPr>
            <w:tcW w:w="1334" w:type="dxa"/>
            <w:vMerge w:val="restart"/>
            <w:tcBorders>
              <w:top w:val="nil"/>
              <w:left w:val="single" w:color="auto" w:sz="4" w:space="0"/>
              <w:right w:val="single" w:color="auto" w:sz="4" w:space="0"/>
            </w:tcBorders>
            <w:vAlign w:val="center"/>
          </w:tcPr>
          <w:p w14:paraId="51F17B0C">
            <w:pPr>
              <w:widowControl/>
              <w:jc w:val="center"/>
              <w:rPr>
                <w:rFonts w:ascii="宋体" w:hAnsi="宋体" w:cs="宋体"/>
                <w:kern w:val="0"/>
                <w:sz w:val="18"/>
                <w:szCs w:val="18"/>
              </w:rPr>
            </w:pPr>
            <w:r>
              <w:rPr>
                <w:rFonts w:hint="eastAsia" w:ascii="宋体" w:hAnsi="宋体" w:cs="宋体"/>
                <w:kern w:val="0"/>
                <w:sz w:val="18"/>
                <w:szCs w:val="18"/>
              </w:rPr>
              <w:t>海洋与渔业学院援外培训专业教学资源库平台二期建设项目</w:t>
            </w:r>
            <w:bookmarkStart w:id="30" w:name="_GoBack"/>
            <w:bookmarkEnd w:id="30"/>
          </w:p>
        </w:tc>
        <w:tc>
          <w:tcPr>
            <w:tcW w:w="1346" w:type="dxa"/>
            <w:vMerge w:val="restart"/>
            <w:tcBorders>
              <w:top w:val="nil"/>
              <w:left w:val="single" w:color="auto" w:sz="4" w:space="0"/>
              <w:right w:val="single" w:color="auto" w:sz="4" w:space="0"/>
            </w:tcBorders>
            <w:vAlign w:val="center"/>
          </w:tcPr>
          <w:p w14:paraId="2D3B7399">
            <w:pPr>
              <w:widowControl/>
              <w:jc w:val="center"/>
              <w:rPr>
                <w:rFonts w:ascii="宋体" w:hAnsi="宋体" w:cs="宋体"/>
                <w:kern w:val="0"/>
                <w:sz w:val="18"/>
                <w:szCs w:val="18"/>
              </w:rPr>
            </w:pPr>
            <w:r>
              <w:rPr>
                <w:rFonts w:hint="eastAsia" w:ascii="宋体" w:hAnsi="宋体" w:cs="宋体"/>
                <w:kern w:val="0"/>
                <w:sz w:val="18"/>
                <w:szCs w:val="18"/>
              </w:rPr>
              <w:t>总体要求</w:t>
            </w:r>
          </w:p>
        </w:tc>
        <w:tc>
          <w:tcPr>
            <w:tcW w:w="4974" w:type="dxa"/>
            <w:tcBorders>
              <w:top w:val="nil"/>
              <w:left w:val="nil"/>
              <w:bottom w:val="single" w:color="auto" w:sz="4" w:space="0"/>
              <w:right w:val="single" w:color="auto" w:sz="4" w:space="0"/>
            </w:tcBorders>
            <w:vAlign w:val="center"/>
          </w:tcPr>
          <w:p w14:paraId="4A2267DF">
            <w:pPr>
              <w:widowControl/>
              <w:jc w:val="center"/>
              <w:rPr>
                <w:rFonts w:ascii="宋体" w:hAnsi="宋体" w:cs="宋体"/>
                <w:color w:val="000000"/>
                <w:kern w:val="0"/>
                <w:sz w:val="18"/>
                <w:szCs w:val="18"/>
              </w:rPr>
            </w:pPr>
            <w:r>
              <w:rPr>
                <w:rFonts w:hint="eastAsia" w:ascii="仿宋" w:hAnsi="仿宋" w:eastAsia="仿宋" w:cs="仿宋"/>
                <w:sz w:val="24"/>
              </w:rPr>
              <w:t>各专业教学资源库达到统一管理</w:t>
            </w:r>
          </w:p>
        </w:tc>
        <w:tc>
          <w:tcPr>
            <w:tcW w:w="1080" w:type="dxa"/>
            <w:vMerge w:val="restart"/>
            <w:tcBorders>
              <w:top w:val="single" w:color="auto" w:sz="4" w:space="0"/>
              <w:left w:val="nil"/>
              <w:right w:val="single" w:color="auto" w:sz="4" w:space="0"/>
            </w:tcBorders>
          </w:tcPr>
          <w:p w14:paraId="21E66C37">
            <w:pPr>
              <w:widowControl/>
              <w:jc w:val="center"/>
              <w:rPr>
                <w:rFonts w:ascii="宋体" w:hAnsi="宋体" w:cs="宋体"/>
                <w:color w:val="000000"/>
                <w:kern w:val="0"/>
                <w:sz w:val="18"/>
                <w:szCs w:val="18"/>
              </w:rPr>
            </w:pPr>
          </w:p>
        </w:tc>
      </w:tr>
      <w:tr w14:paraId="1F94DE9A">
        <w:tblPrEx>
          <w:tblCellMar>
            <w:top w:w="0" w:type="dxa"/>
            <w:left w:w="108" w:type="dxa"/>
            <w:bottom w:w="0" w:type="dxa"/>
            <w:right w:w="108" w:type="dxa"/>
          </w:tblCellMar>
        </w:tblPrEx>
        <w:trPr>
          <w:trHeight w:val="559" w:hRule="atLeast"/>
        </w:trPr>
        <w:tc>
          <w:tcPr>
            <w:tcW w:w="613" w:type="dxa"/>
            <w:vMerge w:val="continue"/>
            <w:tcBorders>
              <w:left w:val="single" w:color="auto" w:sz="4" w:space="0"/>
              <w:right w:val="single" w:color="auto" w:sz="4" w:space="0"/>
            </w:tcBorders>
            <w:vAlign w:val="center"/>
          </w:tcPr>
          <w:p w14:paraId="7054077F">
            <w:pPr>
              <w:widowControl/>
              <w:jc w:val="left"/>
              <w:rPr>
                <w:rFonts w:ascii="宋体" w:hAnsi="宋体" w:cs="宋体"/>
                <w:kern w:val="0"/>
                <w:sz w:val="18"/>
                <w:szCs w:val="18"/>
              </w:rPr>
            </w:pPr>
          </w:p>
        </w:tc>
        <w:tc>
          <w:tcPr>
            <w:tcW w:w="1334" w:type="dxa"/>
            <w:vMerge w:val="continue"/>
            <w:tcBorders>
              <w:left w:val="single" w:color="auto" w:sz="4" w:space="0"/>
              <w:right w:val="single" w:color="auto" w:sz="4" w:space="0"/>
            </w:tcBorders>
            <w:vAlign w:val="center"/>
          </w:tcPr>
          <w:p w14:paraId="7EDB7C87">
            <w:pPr>
              <w:widowControl/>
              <w:jc w:val="left"/>
              <w:rPr>
                <w:rFonts w:ascii="宋体" w:hAnsi="宋体" w:cs="宋体"/>
                <w:kern w:val="0"/>
                <w:sz w:val="18"/>
                <w:szCs w:val="18"/>
              </w:rPr>
            </w:pPr>
          </w:p>
        </w:tc>
        <w:tc>
          <w:tcPr>
            <w:tcW w:w="1346" w:type="dxa"/>
            <w:vMerge w:val="continue"/>
            <w:tcBorders>
              <w:left w:val="single" w:color="auto" w:sz="4" w:space="0"/>
              <w:right w:val="single" w:color="auto" w:sz="4" w:space="0"/>
            </w:tcBorders>
            <w:vAlign w:val="center"/>
          </w:tcPr>
          <w:p w14:paraId="411ABFE3">
            <w:pPr>
              <w:widowControl/>
              <w:jc w:val="left"/>
              <w:rPr>
                <w:rFonts w:ascii="宋体" w:hAnsi="宋体" w:cs="宋体"/>
                <w:kern w:val="0"/>
                <w:sz w:val="18"/>
                <w:szCs w:val="18"/>
              </w:rPr>
            </w:pPr>
          </w:p>
        </w:tc>
        <w:tc>
          <w:tcPr>
            <w:tcW w:w="4974" w:type="dxa"/>
            <w:tcBorders>
              <w:top w:val="nil"/>
              <w:left w:val="nil"/>
              <w:bottom w:val="single" w:color="auto" w:sz="4" w:space="0"/>
              <w:right w:val="single" w:color="auto" w:sz="4" w:space="0"/>
            </w:tcBorders>
            <w:vAlign w:val="center"/>
          </w:tcPr>
          <w:p w14:paraId="58AC69F0">
            <w:pPr>
              <w:widowControl/>
              <w:jc w:val="center"/>
              <w:rPr>
                <w:rFonts w:ascii="宋体" w:hAnsi="宋体" w:cs="宋体"/>
                <w:color w:val="000000"/>
                <w:kern w:val="0"/>
                <w:sz w:val="18"/>
                <w:szCs w:val="18"/>
              </w:rPr>
            </w:pPr>
            <w:r>
              <w:rPr>
                <w:rFonts w:hint="eastAsia" w:ascii="仿宋" w:hAnsi="仿宋" w:eastAsia="仿宋" w:cs="仿宋"/>
                <w:sz w:val="24"/>
              </w:rPr>
              <w:t>明确资源库建立流程，分工明确</w:t>
            </w:r>
          </w:p>
        </w:tc>
        <w:tc>
          <w:tcPr>
            <w:tcW w:w="1080" w:type="dxa"/>
            <w:vMerge w:val="continue"/>
            <w:tcBorders>
              <w:left w:val="nil"/>
              <w:right w:val="single" w:color="auto" w:sz="4" w:space="0"/>
            </w:tcBorders>
          </w:tcPr>
          <w:p w14:paraId="23AFF787">
            <w:pPr>
              <w:widowControl/>
              <w:jc w:val="center"/>
              <w:rPr>
                <w:rFonts w:ascii="宋体" w:hAnsi="宋体" w:cs="宋体"/>
                <w:color w:val="000000"/>
                <w:kern w:val="0"/>
                <w:sz w:val="18"/>
                <w:szCs w:val="18"/>
              </w:rPr>
            </w:pPr>
          </w:p>
        </w:tc>
      </w:tr>
      <w:tr w14:paraId="297372DD">
        <w:tblPrEx>
          <w:tblCellMar>
            <w:top w:w="0" w:type="dxa"/>
            <w:left w:w="108" w:type="dxa"/>
            <w:bottom w:w="0" w:type="dxa"/>
            <w:right w:w="108" w:type="dxa"/>
          </w:tblCellMar>
        </w:tblPrEx>
        <w:trPr>
          <w:trHeight w:val="570" w:hRule="atLeast"/>
        </w:trPr>
        <w:tc>
          <w:tcPr>
            <w:tcW w:w="613" w:type="dxa"/>
            <w:vMerge w:val="continue"/>
            <w:tcBorders>
              <w:left w:val="single" w:color="auto" w:sz="4" w:space="0"/>
              <w:right w:val="single" w:color="auto" w:sz="4" w:space="0"/>
            </w:tcBorders>
            <w:vAlign w:val="center"/>
          </w:tcPr>
          <w:p w14:paraId="679865E2">
            <w:pPr>
              <w:widowControl/>
              <w:jc w:val="left"/>
              <w:rPr>
                <w:rFonts w:ascii="宋体" w:hAnsi="宋体" w:cs="宋体"/>
                <w:kern w:val="0"/>
                <w:sz w:val="18"/>
                <w:szCs w:val="18"/>
              </w:rPr>
            </w:pPr>
          </w:p>
        </w:tc>
        <w:tc>
          <w:tcPr>
            <w:tcW w:w="1334" w:type="dxa"/>
            <w:vMerge w:val="continue"/>
            <w:tcBorders>
              <w:left w:val="single" w:color="auto" w:sz="4" w:space="0"/>
              <w:right w:val="single" w:color="auto" w:sz="4" w:space="0"/>
            </w:tcBorders>
            <w:vAlign w:val="center"/>
          </w:tcPr>
          <w:p w14:paraId="1133FB66">
            <w:pPr>
              <w:widowControl/>
              <w:jc w:val="left"/>
              <w:rPr>
                <w:rFonts w:ascii="宋体" w:hAnsi="宋体" w:cs="宋体"/>
                <w:kern w:val="0"/>
                <w:sz w:val="18"/>
                <w:szCs w:val="18"/>
              </w:rPr>
            </w:pPr>
          </w:p>
        </w:tc>
        <w:tc>
          <w:tcPr>
            <w:tcW w:w="1346" w:type="dxa"/>
            <w:vMerge w:val="continue"/>
            <w:tcBorders>
              <w:left w:val="single" w:color="auto" w:sz="4" w:space="0"/>
              <w:right w:val="single" w:color="auto" w:sz="4" w:space="0"/>
            </w:tcBorders>
            <w:vAlign w:val="center"/>
          </w:tcPr>
          <w:p w14:paraId="18DE94D5">
            <w:pPr>
              <w:widowControl/>
              <w:jc w:val="left"/>
              <w:rPr>
                <w:rFonts w:ascii="宋体" w:hAnsi="宋体" w:cs="宋体"/>
                <w:kern w:val="0"/>
                <w:sz w:val="18"/>
                <w:szCs w:val="18"/>
              </w:rPr>
            </w:pPr>
          </w:p>
        </w:tc>
        <w:tc>
          <w:tcPr>
            <w:tcW w:w="4974" w:type="dxa"/>
            <w:tcBorders>
              <w:top w:val="nil"/>
              <w:left w:val="nil"/>
              <w:bottom w:val="single" w:color="auto" w:sz="4" w:space="0"/>
              <w:right w:val="single" w:color="auto" w:sz="4" w:space="0"/>
            </w:tcBorders>
            <w:vAlign w:val="center"/>
          </w:tcPr>
          <w:p w14:paraId="4125C1C4">
            <w:pPr>
              <w:widowControl/>
              <w:jc w:val="center"/>
              <w:rPr>
                <w:rFonts w:ascii="宋体" w:hAnsi="宋体" w:cs="宋体"/>
                <w:color w:val="000000"/>
                <w:kern w:val="0"/>
                <w:sz w:val="18"/>
                <w:szCs w:val="18"/>
              </w:rPr>
            </w:pPr>
            <w:r>
              <w:rPr>
                <w:rFonts w:hint="eastAsia" w:ascii="仿宋" w:hAnsi="仿宋" w:eastAsia="仿宋" w:cs="仿宋"/>
                <w:sz w:val="24"/>
              </w:rPr>
              <w:t>构建全面且灵活的课程思政资源与管理平台</w:t>
            </w:r>
          </w:p>
        </w:tc>
        <w:tc>
          <w:tcPr>
            <w:tcW w:w="1080" w:type="dxa"/>
            <w:vMerge w:val="continue"/>
            <w:tcBorders>
              <w:left w:val="nil"/>
              <w:right w:val="single" w:color="auto" w:sz="4" w:space="0"/>
            </w:tcBorders>
          </w:tcPr>
          <w:p w14:paraId="6DCBA88D">
            <w:pPr>
              <w:widowControl/>
              <w:jc w:val="center"/>
              <w:rPr>
                <w:rFonts w:ascii="宋体" w:hAnsi="宋体" w:cs="宋体"/>
                <w:color w:val="000000"/>
                <w:kern w:val="0"/>
                <w:sz w:val="18"/>
                <w:szCs w:val="18"/>
              </w:rPr>
            </w:pPr>
          </w:p>
        </w:tc>
      </w:tr>
      <w:tr w14:paraId="3F34A4B3">
        <w:tblPrEx>
          <w:tblCellMar>
            <w:top w:w="0" w:type="dxa"/>
            <w:left w:w="108" w:type="dxa"/>
            <w:bottom w:w="0" w:type="dxa"/>
            <w:right w:w="108" w:type="dxa"/>
          </w:tblCellMar>
        </w:tblPrEx>
        <w:trPr>
          <w:trHeight w:val="570" w:hRule="atLeast"/>
        </w:trPr>
        <w:tc>
          <w:tcPr>
            <w:tcW w:w="613" w:type="dxa"/>
            <w:vMerge w:val="continue"/>
            <w:tcBorders>
              <w:left w:val="single" w:color="auto" w:sz="4" w:space="0"/>
              <w:bottom w:val="single" w:color="auto" w:sz="4" w:space="0"/>
              <w:right w:val="single" w:color="auto" w:sz="4" w:space="0"/>
            </w:tcBorders>
            <w:noWrap/>
            <w:vAlign w:val="center"/>
          </w:tcPr>
          <w:p w14:paraId="78D605E2">
            <w:pPr>
              <w:widowControl/>
              <w:jc w:val="center"/>
              <w:rPr>
                <w:rFonts w:ascii="宋体" w:hAnsi="宋体" w:cs="宋体"/>
                <w:kern w:val="0"/>
                <w:sz w:val="18"/>
                <w:szCs w:val="18"/>
              </w:rPr>
            </w:pPr>
          </w:p>
        </w:tc>
        <w:tc>
          <w:tcPr>
            <w:tcW w:w="1334" w:type="dxa"/>
            <w:vMerge w:val="continue"/>
            <w:tcBorders>
              <w:left w:val="single" w:color="auto" w:sz="4" w:space="0"/>
              <w:right w:val="single" w:color="auto" w:sz="4" w:space="0"/>
            </w:tcBorders>
            <w:vAlign w:val="center"/>
          </w:tcPr>
          <w:p w14:paraId="034A628D">
            <w:pPr>
              <w:widowControl/>
              <w:jc w:val="center"/>
              <w:rPr>
                <w:rFonts w:ascii="宋体" w:hAnsi="宋体" w:cs="宋体"/>
                <w:kern w:val="0"/>
                <w:sz w:val="18"/>
                <w:szCs w:val="18"/>
              </w:rPr>
            </w:pPr>
          </w:p>
        </w:tc>
        <w:tc>
          <w:tcPr>
            <w:tcW w:w="1346" w:type="dxa"/>
            <w:vMerge w:val="continue"/>
            <w:tcBorders>
              <w:left w:val="single" w:color="auto" w:sz="4" w:space="0"/>
              <w:bottom w:val="single" w:color="auto" w:sz="4" w:space="0"/>
              <w:right w:val="single" w:color="auto" w:sz="4" w:space="0"/>
            </w:tcBorders>
            <w:vAlign w:val="center"/>
          </w:tcPr>
          <w:p w14:paraId="153290FC">
            <w:pPr>
              <w:widowControl/>
              <w:jc w:val="center"/>
              <w:rPr>
                <w:rFonts w:ascii="宋体" w:hAnsi="宋体" w:cs="宋体"/>
                <w:kern w:val="0"/>
                <w:sz w:val="18"/>
                <w:szCs w:val="18"/>
              </w:rPr>
            </w:pPr>
          </w:p>
        </w:tc>
        <w:tc>
          <w:tcPr>
            <w:tcW w:w="4974" w:type="dxa"/>
            <w:tcBorders>
              <w:top w:val="nil"/>
              <w:left w:val="nil"/>
              <w:bottom w:val="single" w:color="auto" w:sz="4" w:space="0"/>
              <w:right w:val="single" w:color="auto" w:sz="4" w:space="0"/>
            </w:tcBorders>
            <w:vAlign w:val="center"/>
          </w:tcPr>
          <w:p w14:paraId="430992BF">
            <w:pPr>
              <w:widowControl/>
              <w:jc w:val="center"/>
              <w:rPr>
                <w:rFonts w:ascii="宋体" w:hAnsi="宋体" w:cs="宋体"/>
                <w:color w:val="000000"/>
                <w:kern w:val="0"/>
                <w:sz w:val="18"/>
                <w:szCs w:val="18"/>
              </w:rPr>
            </w:pPr>
            <w:r>
              <w:rPr>
                <w:rFonts w:hint="eastAsia" w:ascii="仿宋" w:hAnsi="仿宋" w:eastAsia="仿宋" w:cs="仿宋"/>
                <w:sz w:val="24"/>
              </w:rPr>
              <w:t>‌个性化学习与教学互动</w:t>
            </w:r>
          </w:p>
        </w:tc>
        <w:tc>
          <w:tcPr>
            <w:tcW w:w="1080" w:type="dxa"/>
            <w:vMerge w:val="continue"/>
            <w:tcBorders>
              <w:left w:val="nil"/>
              <w:right w:val="single" w:color="auto" w:sz="4" w:space="0"/>
            </w:tcBorders>
          </w:tcPr>
          <w:p w14:paraId="0DCCA2E0">
            <w:pPr>
              <w:widowControl/>
              <w:jc w:val="center"/>
              <w:rPr>
                <w:rFonts w:ascii="宋体" w:hAnsi="宋体" w:cs="宋体"/>
                <w:color w:val="000000"/>
                <w:kern w:val="0"/>
                <w:sz w:val="18"/>
                <w:szCs w:val="18"/>
              </w:rPr>
            </w:pPr>
          </w:p>
        </w:tc>
      </w:tr>
      <w:tr w14:paraId="0A0FFA6E">
        <w:tblPrEx>
          <w:tblCellMar>
            <w:top w:w="0" w:type="dxa"/>
            <w:left w:w="108" w:type="dxa"/>
            <w:bottom w:w="0" w:type="dxa"/>
            <w:right w:w="108" w:type="dxa"/>
          </w:tblCellMar>
        </w:tblPrEx>
        <w:trPr>
          <w:trHeight w:val="570" w:hRule="atLeast"/>
        </w:trPr>
        <w:tc>
          <w:tcPr>
            <w:tcW w:w="613" w:type="dxa"/>
            <w:vMerge w:val="restart"/>
            <w:tcBorders>
              <w:top w:val="nil"/>
              <w:left w:val="single" w:color="auto" w:sz="4" w:space="0"/>
              <w:right w:val="single" w:color="auto" w:sz="4" w:space="0"/>
            </w:tcBorders>
            <w:vAlign w:val="center"/>
          </w:tcPr>
          <w:p w14:paraId="126999E3">
            <w:pPr>
              <w:widowControl/>
              <w:jc w:val="center"/>
              <w:rPr>
                <w:rFonts w:ascii="宋体" w:hAnsi="宋体" w:cs="宋体"/>
                <w:kern w:val="0"/>
                <w:sz w:val="18"/>
                <w:szCs w:val="18"/>
              </w:rPr>
            </w:pPr>
            <w:r>
              <w:rPr>
                <w:rFonts w:hint="eastAsia" w:ascii="宋体" w:hAnsi="宋体" w:cs="宋体"/>
                <w:kern w:val="0"/>
                <w:sz w:val="18"/>
                <w:szCs w:val="18"/>
              </w:rPr>
              <w:t>2</w:t>
            </w:r>
          </w:p>
        </w:tc>
        <w:tc>
          <w:tcPr>
            <w:tcW w:w="1334" w:type="dxa"/>
            <w:vMerge w:val="continue"/>
            <w:tcBorders>
              <w:left w:val="single" w:color="auto" w:sz="4" w:space="0"/>
              <w:right w:val="single" w:color="auto" w:sz="4" w:space="0"/>
            </w:tcBorders>
            <w:vAlign w:val="center"/>
          </w:tcPr>
          <w:p w14:paraId="3234E288">
            <w:pPr>
              <w:widowControl/>
              <w:jc w:val="left"/>
              <w:rPr>
                <w:rFonts w:ascii="宋体" w:hAnsi="宋体" w:cs="宋体"/>
                <w:kern w:val="0"/>
                <w:sz w:val="18"/>
                <w:szCs w:val="18"/>
              </w:rPr>
            </w:pPr>
          </w:p>
        </w:tc>
        <w:tc>
          <w:tcPr>
            <w:tcW w:w="1346" w:type="dxa"/>
            <w:vMerge w:val="restart"/>
            <w:tcBorders>
              <w:top w:val="nil"/>
              <w:left w:val="single" w:color="auto" w:sz="4" w:space="0"/>
              <w:right w:val="single" w:color="auto" w:sz="4" w:space="0"/>
            </w:tcBorders>
            <w:vAlign w:val="center"/>
          </w:tcPr>
          <w:p w14:paraId="64F6E7E2">
            <w:pPr>
              <w:widowControl/>
              <w:jc w:val="center"/>
              <w:rPr>
                <w:rFonts w:ascii="宋体" w:hAnsi="宋体" w:cs="宋体"/>
                <w:kern w:val="0"/>
                <w:sz w:val="18"/>
                <w:szCs w:val="18"/>
              </w:rPr>
            </w:pPr>
            <w:r>
              <w:rPr>
                <w:rFonts w:hint="eastAsia" w:ascii="宋体" w:hAnsi="宋体" w:cs="宋体"/>
                <w:kern w:val="0"/>
                <w:sz w:val="18"/>
                <w:szCs w:val="18"/>
              </w:rPr>
              <w:t>平台技术要求</w:t>
            </w:r>
            <w:r>
              <w:rPr>
                <w:rFonts w:hint="eastAsia" w:ascii="宋体" w:hAnsi="宋体" w:cs="宋体"/>
                <w:kern w:val="0"/>
                <w:sz w:val="18"/>
                <w:szCs w:val="18"/>
              </w:rPr>
              <w:tab/>
            </w:r>
          </w:p>
        </w:tc>
        <w:tc>
          <w:tcPr>
            <w:tcW w:w="4974" w:type="dxa"/>
            <w:tcBorders>
              <w:top w:val="nil"/>
              <w:left w:val="nil"/>
              <w:bottom w:val="single" w:color="auto" w:sz="4" w:space="0"/>
              <w:right w:val="single" w:color="auto" w:sz="4" w:space="0"/>
            </w:tcBorders>
            <w:vAlign w:val="center"/>
          </w:tcPr>
          <w:p w14:paraId="7E4C0320">
            <w:pPr>
              <w:widowControl/>
              <w:jc w:val="center"/>
              <w:rPr>
                <w:rFonts w:ascii="宋体" w:hAnsi="宋体" w:cs="宋体"/>
                <w:color w:val="000000"/>
                <w:kern w:val="0"/>
                <w:sz w:val="18"/>
                <w:szCs w:val="18"/>
              </w:rPr>
            </w:pPr>
            <w:r>
              <w:rPr>
                <w:rFonts w:hint="eastAsia" w:ascii="仿宋" w:hAnsi="仿宋" w:eastAsia="仿宋" w:cs="仿宋"/>
                <w:sz w:val="24"/>
              </w:rPr>
              <w:t>高效资源管理与便捷共享</w:t>
            </w:r>
          </w:p>
        </w:tc>
        <w:tc>
          <w:tcPr>
            <w:tcW w:w="1080" w:type="dxa"/>
            <w:vMerge w:val="continue"/>
            <w:tcBorders>
              <w:left w:val="nil"/>
              <w:right w:val="single" w:color="auto" w:sz="4" w:space="0"/>
            </w:tcBorders>
          </w:tcPr>
          <w:p w14:paraId="2428F8FC">
            <w:pPr>
              <w:widowControl/>
              <w:jc w:val="center"/>
              <w:rPr>
                <w:rFonts w:ascii="宋体" w:hAnsi="宋体" w:cs="宋体"/>
                <w:color w:val="000000"/>
                <w:kern w:val="0"/>
                <w:sz w:val="18"/>
                <w:szCs w:val="18"/>
              </w:rPr>
            </w:pPr>
          </w:p>
        </w:tc>
      </w:tr>
      <w:tr w14:paraId="0165C84A">
        <w:tblPrEx>
          <w:tblCellMar>
            <w:top w:w="0" w:type="dxa"/>
            <w:left w:w="108" w:type="dxa"/>
            <w:bottom w:w="0" w:type="dxa"/>
            <w:right w:w="108" w:type="dxa"/>
          </w:tblCellMar>
        </w:tblPrEx>
        <w:trPr>
          <w:trHeight w:val="570" w:hRule="atLeast"/>
        </w:trPr>
        <w:tc>
          <w:tcPr>
            <w:tcW w:w="613" w:type="dxa"/>
            <w:vMerge w:val="continue"/>
            <w:tcBorders>
              <w:left w:val="single" w:color="auto" w:sz="4" w:space="0"/>
              <w:right w:val="single" w:color="auto" w:sz="4" w:space="0"/>
            </w:tcBorders>
            <w:noWrap/>
            <w:vAlign w:val="center"/>
          </w:tcPr>
          <w:p w14:paraId="08F282B3">
            <w:pPr>
              <w:widowControl/>
              <w:jc w:val="center"/>
              <w:rPr>
                <w:rFonts w:ascii="宋体" w:hAnsi="宋体" w:cs="宋体"/>
                <w:kern w:val="0"/>
                <w:sz w:val="18"/>
                <w:szCs w:val="18"/>
              </w:rPr>
            </w:pPr>
          </w:p>
        </w:tc>
        <w:tc>
          <w:tcPr>
            <w:tcW w:w="1334" w:type="dxa"/>
            <w:vMerge w:val="continue"/>
            <w:tcBorders>
              <w:left w:val="single" w:color="auto" w:sz="4" w:space="0"/>
              <w:right w:val="single" w:color="auto" w:sz="4" w:space="0"/>
            </w:tcBorders>
            <w:vAlign w:val="center"/>
          </w:tcPr>
          <w:p w14:paraId="35003D0E">
            <w:pPr>
              <w:widowControl/>
              <w:jc w:val="center"/>
              <w:rPr>
                <w:rFonts w:ascii="宋体" w:hAnsi="宋体" w:cs="宋体"/>
                <w:kern w:val="0"/>
                <w:sz w:val="18"/>
                <w:szCs w:val="18"/>
              </w:rPr>
            </w:pPr>
          </w:p>
        </w:tc>
        <w:tc>
          <w:tcPr>
            <w:tcW w:w="1346" w:type="dxa"/>
            <w:vMerge w:val="continue"/>
            <w:tcBorders>
              <w:left w:val="single" w:color="auto" w:sz="4" w:space="0"/>
              <w:right w:val="single" w:color="auto" w:sz="4" w:space="0"/>
            </w:tcBorders>
            <w:vAlign w:val="center"/>
          </w:tcPr>
          <w:p w14:paraId="679C13B4">
            <w:pPr>
              <w:widowControl/>
              <w:jc w:val="center"/>
              <w:rPr>
                <w:rFonts w:ascii="宋体" w:hAnsi="宋体" w:cs="宋体"/>
                <w:kern w:val="0"/>
                <w:sz w:val="18"/>
                <w:szCs w:val="18"/>
              </w:rPr>
            </w:pPr>
          </w:p>
        </w:tc>
        <w:tc>
          <w:tcPr>
            <w:tcW w:w="4974" w:type="dxa"/>
            <w:tcBorders>
              <w:top w:val="nil"/>
              <w:left w:val="nil"/>
              <w:bottom w:val="single" w:color="auto" w:sz="4" w:space="0"/>
              <w:right w:val="single" w:color="auto" w:sz="4" w:space="0"/>
            </w:tcBorders>
            <w:vAlign w:val="center"/>
          </w:tcPr>
          <w:p w14:paraId="29017F2B">
            <w:pPr>
              <w:widowControl/>
              <w:jc w:val="center"/>
              <w:rPr>
                <w:rFonts w:ascii="宋体" w:hAnsi="宋体" w:cs="宋体"/>
                <w:color w:val="000000"/>
                <w:kern w:val="0"/>
                <w:sz w:val="18"/>
                <w:szCs w:val="18"/>
              </w:rPr>
            </w:pPr>
            <w:r>
              <w:rPr>
                <w:rFonts w:hint="eastAsia" w:ascii="仿宋" w:hAnsi="仿宋" w:eastAsia="仿宋" w:cs="仿宋"/>
                <w:sz w:val="24"/>
              </w:rPr>
              <w:t>多层级自适应课程思政门户平台</w:t>
            </w:r>
          </w:p>
        </w:tc>
        <w:tc>
          <w:tcPr>
            <w:tcW w:w="1080" w:type="dxa"/>
            <w:vMerge w:val="continue"/>
            <w:tcBorders>
              <w:left w:val="nil"/>
              <w:right w:val="single" w:color="auto" w:sz="4" w:space="0"/>
            </w:tcBorders>
          </w:tcPr>
          <w:p w14:paraId="3CC7113F">
            <w:pPr>
              <w:widowControl/>
              <w:jc w:val="center"/>
              <w:rPr>
                <w:rFonts w:ascii="宋体" w:hAnsi="宋体" w:cs="宋体"/>
                <w:color w:val="000000"/>
                <w:kern w:val="0"/>
                <w:sz w:val="18"/>
                <w:szCs w:val="18"/>
              </w:rPr>
            </w:pPr>
          </w:p>
        </w:tc>
      </w:tr>
      <w:tr w14:paraId="12C8A7AD">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noWrap/>
            <w:vAlign w:val="center"/>
          </w:tcPr>
          <w:p w14:paraId="012BA8EA">
            <w:pPr>
              <w:widowControl/>
              <w:jc w:val="center"/>
              <w:rPr>
                <w:rFonts w:ascii="宋体" w:hAnsi="宋体" w:cs="宋体"/>
                <w:kern w:val="0"/>
                <w:sz w:val="18"/>
                <w:szCs w:val="18"/>
              </w:rPr>
            </w:pPr>
          </w:p>
        </w:tc>
        <w:tc>
          <w:tcPr>
            <w:tcW w:w="1334" w:type="dxa"/>
            <w:vMerge w:val="continue"/>
            <w:tcBorders>
              <w:left w:val="single" w:color="auto" w:sz="4" w:space="0"/>
              <w:right w:val="single" w:color="auto" w:sz="4" w:space="0"/>
            </w:tcBorders>
            <w:vAlign w:val="center"/>
          </w:tcPr>
          <w:p w14:paraId="661E0D05">
            <w:pPr>
              <w:widowControl/>
              <w:jc w:val="center"/>
              <w:rPr>
                <w:rFonts w:ascii="宋体" w:hAnsi="宋体" w:cs="宋体"/>
                <w:kern w:val="0"/>
                <w:sz w:val="18"/>
                <w:szCs w:val="18"/>
              </w:rPr>
            </w:pPr>
          </w:p>
        </w:tc>
        <w:tc>
          <w:tcPr>
            <w:tcW w:w="1346" w:type="dxa"/>
            <w:vMerge w:val="continue"/>
            <w:tcBorders>
              <w:left w:val="single" w:color="auto" w:sz="4" w:space="0"/>
              <w:right w:val="single" w:color="auto" w:sz="4" w:space="0"/>
            </w:tcBorders>
            <w:vAlign w:val="center"/>
          </w:tcPr>
          <w:p w14:paraId="04960FA2">
            <w:pPr>
              <w:widowControl/>
              <w:jc w:val="center"/>
              <w:rPr>
                <w:rFonts w:ascii="宋体" w:hAnsi="宋体" w:cs="宋体"/>
                <w:kern w:val="0"/>
                <w:sz w:val="18"/>
                <w:szCs w:val="18"/>
              </w:rPr>
            </w:pPr>
          </w:p>
        </w:tc>
        <w:tc>
          <w:tcPr>
            <w:tcW w:w="4974" w:type="dxa"/>
            <w:tcBorders>
              <w:top w:val="nil"/>
              <w:left w:val="nil"/>
              <w:bottom w:val="single" w:color="auto" w:sz="4" w:space="0"/>
              <w:right w:val="single" w:color="auto" w:sz="4" w:space="0"/>
            </w:tcBorders>
            <w:vAlign w:val="center"/>
          </w:tcPr>
          <w:p w14:paraId="275C88E2">
            <w:pPr>
              <w:adjustRightInd w:val="0"/>
              <w:snapToGrid w:val="0"/>
              <w:spacing w:line="312" w:lineRule="auto"/>
              <w:rPr>
                <w:rFonts w:ascii="宋体" w:hAnsi="宋体" w:cs="宋体"/>
                <w:color w:val="000000"/>
                <w:kern w:val="0"/>
                <w:sz w:val="18"/>
                <w:szCs w:val="18"/>
              </w:rPr>
            </w:pPr>
            <w:r>
              <w:rPr>
                <w:rFonts w:hint="eastAsia" w:ascii="仿宋" w:hAnsi="仿宋" w:eastAsia="仿宋" w:cs="仿宋"/>
                <w:sz w:val="24"/>
              </w:rPr>
              <w:t>高效可扩展的在线教育平台设计与实施</w:t>
            </w:r>
          </w:p>
        </w:tc>
        <w:tc>
          <w:tcPr>
            <w:tcW w:w="1080" w:type="dxa"/>
            <w:vMerge w:val="continue"/>
            <w:tcBorders>
              <w:left w:val="nil"/>
              <w:right w:val="single" w:color="auto" w:sz="4" w:space="0"/>
            </w:tcBorders>
          </w:tcPr>
          <w:p w14:paraId="516BFCB5">
            <w:pPr>
              <w:widowControl/>
              <w:jc w:val="center"/>
              <w:rPr>
                <w:rFonts w:ascii="宋体" w:hAnsi="宋体" w:cs="宋体"/>
                <w:color w:val="000000"/>
                <w:kern w:val="0"/>
                <w:sz w:val="18"/>
                <w:szCs w:val="18"/>
              </w:rPr>
            </w:pPr>
          </w:p>
        </w:tc>
      </w:tr>
      <w:tr w14:paraId="4C513558">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1D596D5D">
            <w:pPr>
              <w:widowControl/>
              <w:jc w:val="center"/>
              <w:rPr>
                <w:rFonts w:ascii="宋体" w:hAnsi="宋体" w:cs="宋体"/>
                <w:kern w:val="0"/>
                <w:sz w:val="18"/>
                <w:szCs w:val="18"/>
              </w:rPr>
            </w:pPr>
          </w:p>
        </w:tc>
        <w:tc>
          <w:tcPr>
            <w:tcW w:w="1334" w:type="dxa"/>
            <w:vMerge w:val="continue"/>
            <w:tcBorders>
              <w:left w:val="single" w:color="auto" w:sz="4" w:space="0"/>
              <w:right w:val="single" w:color="auto" w:sz="4" w:space="0"/>
            </w:tcBorders>
            <w:vAlign w:val="center"/>
          </w:tcPr>
          <w:p w14:paraId="01E7AD30">
            <w:pPr>
              <w:widowControl/>
              <w:jc w:val="left"/>
              <w:rPr>
                <w:rFonts w:ascii="宋体" w:hAnsi="宋体" w:cs="宋体"/>
                <w:kern w:val="0"/>
                <w:sz w:val="18"/>
                <w:szCs w:val="18"/>
              </w:rPr>
            </w:pPr>
          </w:p>
        </w:tc>
        <w:tc>
          <w:tcPr>
            <w:tcW w:w="1346" w:type="dxa"/>
            <w:vMerge w:val="continue"/>
            <w:tcBorders>
              <w:left w:val="single" w:color="auto" w:sz="4" w:space="0"/>
              <w:right w:val="single" w:color="auto" w:sz="4" w:space="0"/>
            </w:tcBorders>
            <w:vAlign w:val="center"/>
          </w:tcPr>
          <w:p w14:paraId="6A8D71CD">
            <w:pPr>
              <w:widowControl/>
              <w:jc w:val="center"/>
              <w:rPr>
                <w:rFonts w:ascii="宋体" w:hAnsi="宋体" w:cs="宋体"/>
                <w:kern w:val="0"/>
                <w:sz w:val="18"/>
                <w:szCs w:val="18"/>
              </w:rPr>
            </w:pPr>
          </w:p>
        </w:tc>
        <w:tc>
          <w:tcPr>
            <w:tcW w:w="4974" w:type="dxa"/>
            <w:tcBorders>
              <w:top w:val="nil"/>
              <w:left w:val="nil"/>
              <w:bottom w:val="single" w:color="auto" w:sz="4" w:space="0"/>
              <w:right w:val="single" w:color="auto" w:sz="4" w:space="0"/>
            </w:tcBorders>
            <w:vAlign w:val="center"/>
          </w:tcPr>
          <w:p w14:paraId="7F82D469">
            <w:pPr>
              <w:widowControl/>
              <w:jc w:val="center"/>
              <w:rPr>
                <w:rFonts w:ascii="宋体" w:hAnsi="宋体" w:cs="宋体"/>
                <w:color w:val="000000"/>
                <w:kern w:val="0"/>
                <w:sz w:val="18"/>
                <w:szCs w:val="18"/>
              </w:rPr>
            </w:pPr>
            <w:r>
              <w:rPr>
                <w:rFonts w:hint="eastAsia" w:ascii="仿宋" w:hAnsi="仿宋" w:eastAsia="仿宋" w:cs="仿宋"/>
                <w:sz w:val="24"/>
              </w:rPr>
              <w:t>性能要求</w:t>
            </w:r>
          </w:p>
        </w:tc>
        <w:tc>
          <w:tcPr>
            <w:tcW w:w="1080" w:type="dxa"/>
            <w:vMerge w:val="continue"/>
            <w:tcBorders>
              <w:left w:val="nil"/>
              <w:right w:val="single" w:color="auto" w:sz="4" w:space="0"/>
            </w:tcBorders>
          </w:tcPr>
          <w:p w14:paraId="7A56828B">
            <w:pPr>
              <w:widowControl/>
              <w:jc w:val="center"/>
              <w:rPr>
                <w:rFonts w:ascii="宋体" w:hAnsi="宋体" w:cs="宋体"/>
                <w:color w:val="000000"/>
                <w:kern w:val="0"/>
                <w:sz w:val="18"/>
                <w:szCs w:val="18"/>
              </w:rPr>
            </w:pPr>
          </w:p>
        </w:tc>
      </w:tr>
      <w:tr w14:paraId="01764179">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4424EF48">
            <w:pPr>
              <w:widowControl/>
              <w:jc w:val="center"/>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03E30997">
            <w:pPr>
              <w:widowControl/>
              <w:jc w:val="center"/>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43E2E63F">
            <w:pPr>
              <w:widowControl/>
              <w:jc w:val="center"/>
              <w:rPr>
                <w:rFonts w:ascii="宋体" w:hAnsi="宋体" w:cs="宋体"/>
                <w:kern w:val="0"/>
                <w:sz w:val="18"/>
                <w:szCs w:val="18"/>
              </w:rPr>
            </w:pPr>
          </w:p>
        </w:tc>
        <w:tc>
          <w:tcPr>
            <w:tcW w:w="4974" w:type="dxa"/>
            <w:tcBorders>
              <w:top w:val="nil"/>
              <w:left w:val="nil"/>
              <w:bottom w:val="single" w:color="auto" w:sz="4" w:space="0"/>
              <w:right w:val="single" w:color="auto" w:sz="4" w:space="0"/>
            </w:tcBorders>
            <w:vAlign w:val="center"/>
          </w:tcPr>
          <w:p w14:paraId="52339D1A">
            <w:pPr>
              <w:widowControl/>
              <w:jc w:val="center"/>
              <w:rPr>
                <w:rFonts w:ascii="宋体" w:hAnsi="宋体" w:cs="宋体"/>
                <w:color w:val="000000"/>
                <w:kern w:val="0"/>
                <w:sz w:val="18"/>
                <w:szCs w:val="18"/>
              </w:rPr>
            </w:pPr>
            <w:r>
              <w:rPr>
                <w:rFonts w:hint="eastAsia" w:ascii="仿宋" w:hAnsi="仿宋" w:eastAsia="仿宋" w:cs="仿宋"/>
                <w:sz w:val="24"/>
              </w:rPr>
              <w:t>系统部署</w:t>
            </w:r>
          </w:p>
        </w:tc>
        <w:tc>
          <w:tcPr>
            <w:tcW w:w="1080" w:type="dxa"/>
            <w:vMerge w:val="continue"/>
            <w:tcBorders>
              <w:left w:val="nil"/>
              <w:right w:val="single" w:color="auto" w:sz="4" w:space="0"/>
            </w:tcBorders>
          </w:tcPr>
          <w:p w14:paraId="7DB2758A">
            <w:pPr>
              <w:widowControl/>
              <w:jc w:val="center"/>
              <w:rPr>
                <w:rFonts w:ascii="宋体" w:hAnsi="宋体" w:cs="宋体"/>
                <w:color w:val="000000"/>
                <w:kern w:val="0"/>
                <w:sz w:val="18"/>
                <w:szCs w:val="18"/>
              </w:rPr>
            </w:pPr>
          </w:p>
        </w:tc>
      </w:tr>
      <w:tr w14:paraId="5037509E">
        <w:tblPrEx>
          <w:tblCellMar>
            <w:top w:w="0" w:type="dxa"/>
            <w:left w:w="108" w:type="dxa"/>
            <w:bottom w:w="0" w:type="dxa"/>
            <w:right w:w="108" w:type="dxa"/>
          </w:tblCellMar>
        </w:tblPrEx>
        <w:trPr>
          <w:trHeight w:val="552" w:hRule="atLeast"/>
        </w:trPr>
        <w:tc>
          <w:tcPr>
            <w:tcW w:w="613" w:type="dxa"/>
            <w:vMerge w:val="continue"/>
            <w:tcBorders>
              <w:left w:val="single" w:color="auto" w:sz="4" w:space="0"/>
              <w:bottom w:val="single" w:color="auto" w:sz="4" w:space="0"/>
              <w:right w:val="single" w:color="auto" w:sz="4" w:space="0"/>
            </w:tcBorders>
            <w:vAlign w:val="center"/>
          </w:tcPr>
          <w:p w14:paraId="726CA287">
            <w:pPr>
              <w:widowControl/>
              <w:jc w:val="center"/>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6649C5B1">
            <w:pPr>
              <w:widowControl/>
              <w:jc w:val="left"/>
              <w:rPr>
                <w:rFonts w:ascii="宋体" w:hAnsi="宋体" w:cs="宋体"/>
                <w:color w:val="000000"/>
                <w:kern w:val="0"/>
                <w:sz w:val="18"/>
                <w:szCs w:val="18"/>
              </w:rPr>
            </w:pPr>
          </w:p>
        </w:tc>
        <w:tc>
          <w:tcPr>
            <w:tcW w:w="1346" w:type="dxa"/>
            <w:vMerge w:val="continue"/>
            <w:tcBorders>
              <w:left w:val="single" w:color="auto" w:sz="4" w:space="0"/>
              <w:bottom w:val="single" w:color="auto" w:sz="4" w:space="0"/>
              <w:right w:val="single" w:color="auto" w:sz="4" w:space="0"/>
            </w:tcBorders>
            <w:vAlign w:val="center"/>
          </w:tcPr>
          <w:p w14:paraId="75D9DA8E">
            <w:pPr>
              <w:widowControl/>
              <w:jc w:val="center"/>
              <w:rPr>
                <w:rFonts w:ascii="宋体" w:hAnsi="宋体" w:cs="宋体"/>
                <w:kern w:val="0"/>
                <w:sz w:val="18"/>
                <w:szCs w:val="18"/>
              </w:rPr>
            </w:pPr>
          </w:p>
        </w:tc>
        <w:tc>
          <w:tcPr>
            <w:tcW w:w="4974" w:type="dxa"/>
            <w:tcBorders>
              <w:top w:val="nil"/>
              <w:left w:val="nil"/>
              <w:bottom w:val="single" w:color="auto" w:sz="4" w:space="0"/>
              <w:right w:val="single" w:color="auto" w:sz="4" w:space="0"/>
            </w:tcBorders>
            <w:vAlign w:val="center"/>
          </w:tcPr>
          <w:p w14:paraId="0529F33E">
            <w:pPr>
              <w:widowControl/>
              <w:jc w:val="center"/>
              <w:rPr>
                <w:rFonts w:ascii="宋体" w:hAnsi="宋体" w:cs="宋体"/>
                <w:color w:val="000000"/>
                <w:kern w:val="0"/>
                <w:sz w:val="18"/>
                <w:szCs w:val="18"/>
              </w:rPr>
            </w:pPr>
            <w:r>
              <w:rPr>
                <w:rFonts w:hint="eastAsia" w:ascii="仿宋" w:hAnsi="仿宋" w:eastAsia="仿宋" w:cs="仿宋"/>
                <w:sz w:val="24"/>
              </w:rPr>
              <w:t>安全要求</w:t>
            </w:r>
          </w:p>
        </w:tc>
        <w:tc>
          <w:tcPr>
            <w:tcW w:w="1080" w:type="dxa"/>
            <w:vMerge w:val="continue"/>
            <w:tcBorders>
              <w:left w:val="nil"/>
              <w:right w:val="single" w:color="auto" w:sz="4" w:space="0"/>
            </w:tcBorders>
          </w:tcPr>
          <w:p w14:paraId="3455C858">
            <w:pPr>
              <w:widowControl/>
              <w:jc w:val="center"/>
              <w:rPr>
                <w:rFonts w:ascii="宋体" w:hAnsi="宋体" w:cs="宋体"/>
                <w:color w:val="000000"/>
                <w:kern w:val="0"/>
                <w:sz w:val="18"/>
                <w:szCs w:val="18"/>
              </w:rPr>
            </w:pPr>
          </w:p>
        </w:tc>
      </w:tr>
      <w:tr w14:paraId="18B3781D">
        <w:tblPrEx>
          <w:tblCellMar>
            <w:top w:w="0" w:type="dxa"/>
            <w:left w:w="108" w:type="dxa"/>
            <w:bottom w:w="0" w:type="dxa"/>
            <w:right w:w="108" w:type="dxa"/>
          </w:tblCellMar>
        </w:tblPrEx>
        <w:trPr>
          <w:trHeight w:val="552" w:hRule="atLeast"/>
        </w:trPr>
        <w:tc>
          <w:tcPr>
            <w:tcW w:w="613" w:type="dxa"/>
            <w:vMerge w:val="restart"/>
            <w:tcBorders>
              <w:top w:val="nil"/>
              <w:left w:val="single" w:color="auto" w:sz="4" w:space="0"/>
              <w:right w:val="single" w:color="auto" w:sz="4" w:space="0"/>
            </w:tcBorders>
            <w:vAlign w:val="center"/>
          </w:tcPr>
          <w:p w14:paraId="63E9005D">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1334" w:type="dxa"/>
            <w:vMerge w:val="continue"/>
            <w:tcBorders>
              <w:left w:val="single" w:color="auto" w:sz="4" w:space="0"/>
              <w:right w:val="single" w:color="auto" w:sz="4" w:space="0"/>
            </w:tcBorders>
            <w:vAlign w:val="center"/>
          </w:tcPr>
          <w:p w14:paraId="18E4620F">
            <w:pPr>
              <w:widowControl/>
              <w:jc w:val="left"/>
              <w:rPr>
                <w:rFonts w:ascii="宋体" w:hAnsi="宋体" w:cs="宋体"/>
                <w:color w:val="000000"/>
                <w:kern w:val="0"/>
                <w:sz w:val="18"/>
                <w:szCs w:val="18"/>
              </w:rPr>
            </w:pPr>
          </w:p>
        </w:tc>
        <w:tc>
          <w:tcPr>
            <w:tcW w:w="1346" w:type="dxa"/>
            <w:vMerge w:val="restart"/>
            <w:tcBorders>
              <w:top w:val="nil"/>
              <w:left w:val="single" w:color="auto" w:sz="4" w:space="0"/>
              <w:right w:val="single" w:color="auto" w:sz="4" w:space="0"/>
            </w:tcBorders>
            <w:vAlign w:val="center"/>
          </w:tcPr>
          <w:p w14:paraId="0B5B6A43">
            <w:pPr>
              <w:widowControl/>
              <w:jc w:val="center"/>
              <w:rPr>
                <w:rFonts w:ascii="宋体" w:hAnsi="宋体" w:cs="宋体"/>
                <w:kern w:val="0"/>
                <w:sz w:val="18"/>
                <w:szCs w:val="18"/>
              </w:rPr>
            </w:pPr>
            <w:r>
              <w:rPr>
                <w:rFonts w:hint="eastAsia" w:ascii="宋体" w:hAnsi="宋体" w:cs="宋体"/>
                <w:kern w:val="0"/>
                <w:sz w:val="18"/>
                <w:szCs w:val="18"/>
              </w:rPr>
              <w:t>项目建设功能</w:t>
            </w:r>
          </w:p>
        </w:tc>
        <w:tc>
          <w:tcPr>
            <w:tcW w:w="4974" w:type="dxa"/>
            <w:tcBorders>
              <w:top w:val="nil"/>
              <w:left w:val="nil"/>
              <w:bottom w:val="single" w:color="auto" w:sz="4" w:space="0"/>
              <w:right w:val="single" w:color="auto" w:sz="4" w:space="0"/>
            </w:tcBorders>
            <w:vAlign w:val="center"/>
          </w:tcPr>
          <w:p w14:paraId="7B588BED">
            <w:pPr>
              <w:widowControl/>
              <w:jc w:val="center"/>
              <w:rPr>
                <w:rFonts w:ascii="宋体" w:hAnsi="宋体" w:cs="宋体"/>
                <w:color w:val="000000"/>
                <w:kern w:val="0"/>
                <w:sz w:val="18"/>
                <w:szCs w:val="18"/>
              </w:rPr>
            </w:pPr>
            <w:r>
              <w:rPr>
                <w:rFonts w:hint="eastAsia" w:ascii="仿宋" w:hAnsi="仿宋" w:eastAsia="仿宋" w:cs="仿宋"/>
                <w:sz w:val="24"/>
              </w:rPr>
              <w:t>专业教学资源库平台一期模块精细化运维与效能提升</w:t>
            </w:r>
          </w:p>
        </w:tc>
        <w:tc>
          <w:tcPr>
            <w:tcW w:w="1080" w:type="dxa"/>
            <w:vMerge w:val="continue"/>
            <w:tcBorders>
              <w:left w:val="nil"/>
              <w:right w:val="single" w:color="auto" w:sz="4" w:space="0"/>
            </w:tcBorders>
          </w:tcPr>
          <w:p w14:paraId="3ACC658D">
            <w:pPr>
              <w:widowControl/>
              <w:jc w:val="center"/>
              <w:rPr>
                <w:rFonts w:ascii="宋体" w:hAnsi="宋体" w:cs="宋体"/>
                <w:color w:val="000000"/>
                <w:kern w:val="0"/>
                <w:sz w:val="18"/>
                <w:szCs w:val="18"/>
              </w:rPr>
            </w:pPr>
          </w:p>
        </w:tc>
      </w:tr>
      <w:tr w14:paraId="0518D0D8">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5E21BD4A">
            <w:pPr>
              <w:widowControl/>
              <w:jc w:val="left"/>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4B7F7186">
            <w:pPr>
              <w:widowControl/>
              <w:jc w:val="left"/>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49759B7A">
            <w:pPr>
              <w:widowControl/>
              <w:jc w:val="center"/>
              <w:rPr>
                <w:rFonts w:ascii="宋体" w:hAnsi="宋体" w:cs="宋体"/>
                <w:kern w:val="0"/>
                <w:sz w:val="18"/>
                <w:szCs w:val="18"/>
              </w:rPr>
            </w:pPr>
          </w:p>
        </w:tc>
        <w:tc>
          <w:tcPr>
            <w:tcW w:w="4974" w:type="dxa"/>
            <w:tcBorders>
              <w:top w:val="nil"/>
              <w:left w:val="nil"/>
              <w:bottom w:val="single" w:color="auto" w:sz="4" w:space="0"/>
              <w:right w:val="single" w:color="auto" w:sz="4" w:space="0"/>
            </w:tcBorders>
            <w:vAlign w:val="center"/>
          </w:tcPr>
          <w:p w14:paraId="0E514EFE">
            <w:pPr>
              <w:widowControl/>
              <w:jc w:val="center"/>
              <w:rPr>
                <w:rFonts w:ascii="宋体" w:hAnsi="宋体" w:cs="宋体"/>
                <w:color w:val="000000"/>
                <w:kern w:val="0"/>
                <w:sz w:val="18"/>
                <w:szCs w:val="18"/>
              </w:rPr>
            </w:pPr>
            <w:r>
              <w:rPr>
                <w:rFonts w:hint="eastAsia" w:ascii="仿宋" w:hAnsi="仿宋" w:eastAsia="仿宋" w:cs="仿宋"/>
                <w:sz w:val="24"/>
              </w:rPr>
              <w:t>设置水产养殖技术专业群双高建设成果专栏</w:t>
            </w:r>
          </w:p>
        </w:tc>
        <w:tc>
          <w:tcPr>
            <w:tcW w:w="1080" w:type="dxa"/>
            <w:vMerge w:val="continue"/>
            <w:tcBorders>
              <w:left w:val="nil"/>
              <w:right w:val="single" w:color="auto" w:sz="4" w:space="0"/>
            </w:tcBorders>
          </w:tcPr>
          <w:p w14:paraId="73236922">
            <w:pPr>
              <w:widowControl/>
              <w:jc w:val="center"/>
              <w:rPr>
                <w:rFonts w:ascii="宋体" w:hAnsi="宋体" w:cs="宋体"/>
                <w:color w:val="000000"/>
                <w:kern w:val="0"/>
                <w:sz w:val="18"/>
                <w:szCs w:val="18"/>
              </w:rPr>
            </w:pPr>
          </w:p>
        </w:tc>
      </w:tr>
      <w:tr w14:paraId="5EC30350">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26BDB4EB">
            <w:pPr>
              <w:widowControl/>
              <w:jc w:val="center"/>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753A5D6E">
            <w:pPr>
              <w:widowControl/>
              <w:jc w:val="center"/>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5FCC6699">
            <w:pPr>
              <w:widowControl/>
              <w:jc w:val="center"/>
              <w:rPr>
                <w:rFonts w:ascii="宋体" w:hAnsi="宋体" w:cs="宋体"/>
                <w:kern w:val="0"/>
                <w:sz w:val="18"/>
                <w:szCs w:val="18"/>
              </w:rPr>
            </w:pPr>
          </w:p>
        </w:tc>
        <w:tc>
          <w:tcPr>
            <w:tcW w:w="4974" w:type="dxa"/>
            <w:tcBorders>
              <w:top w:val="nil"/>
              <w:left w:val="nil"/>
              <w:bottom w:val="single" w:color="auto" w:sz="4" w:space="0"/>
              <w:right w:val="single" w:color="auto" w:sz="4" w:space="0"/>
            </w:tcBorders>
            <w:vAlign w:val="center"/>
          </w:tcPr>
          <w:p w14:paraId="3E3EF7E7">
            <w:pPr>
              <w:widowControl/>
              <w:jc w:val="center"/>
              <w:rPr>
                <w:rFonts w:ascii="宋体" w:hAnsi="宋体" w:cs="宋体"/>
                <w:color w:val="000000"/>
                <w:kern w:val="0"/>
                <w:sz w:val="18"/>
                <w:szCs w:val="18"/>
              </w:rPr>
            </w:pPr>
            <w:r>
              <w:rPr>
                <w:rFonts w:hint="eastAsia" w:ascii="仿宋" w:hAnsi="仿宋" w:eastAsia="仿宋" w:cs="仿宋"/>
                <w:sz w:val="24"/>
              </w:rPr>
              <w:t>个性化与智能化管理功能</w:t>
            </w:r>
          </w:p>
        </w:tc>
        <w:tc>
          <w:tcPr>
            <w:tcW w:w="1080" w:type="dxa"/>
            <w:vMerge w:val="continue"/>
            <w:tcBorders>
              <w:left w:val="nil"/>
              <w:right w:val="single" w:color="auto" w:sz="4" w:space="0"/>
            </w:tcBorders>
          </w:tcPr>
          <w:p w14:paraId="586C8775">
            <w:pPr>
              <w:widowControl/>
              <w:jc w:val="center"/>
              <w:rPr>
                <w:rFonts w:ascii="宋体" w:hAnsi="宋体" w:cs="宋体"/>
                <w:color w:val="000000"/>
                <w:kern w:val="0"/>
                <w:sz w:val="18"/>
                <w:szCs w:val="18"/>
              </w:rPr>
            </w:pPr>
          </w:p>
        </w:tc>
      </w:tr>
      <w:tr w14:paraId="01A8AC58">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05DB80E0">
            <w:pPr>
              <w:widowControl/>
              <w:jc w:val="left"/>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4867EF63">
            <w:pPr>
              <w:widowControl/>
              <w:jc w:val="left"/>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6EC38DB7">
            <w:pPr>
              <w:widowControl/>
              <w:jc w:val="center"/>
              <w:rPr>
                <w:rFonts w:ascii="宋体" w:hAnsi="宋体" w:cs="宋体"/>
                <w:kern w:val="0"/>
                <w:sz w:val="18"/>
                <w:szCs w:val="18"/>
              </w:rPr>
            </w:pPr>
          </w:p>
        </w:tc>
        <w:tc>
          <w:tcPr>
            <w:tcW w:w="4974" w:type="dxa"/>
            <w:tcBorders>
              <w:top w:val="nil"/>
              <w:left w:val="nil"/>
              <w:bottom w:val="single" w:color="auto" w:sz="4" w:space="0"/>
              <w:right w:val="single" w:color="auto" w:sz="4" w:space="0"/>
            </w:tcBorders>
            <w:vAlign w:val="center"/>
          </w:tcPr>
          <w:p w14:paraId="13E5123B">
            <w:pPr>
              <w:widowControl/>
              <w:jc w:val="center"/>
              <w:rPr>
                <w:rFonts w:ascii="宋体" w:hAnsi="宋体" w:cs="宋体"/>
                <w:color w:val="000000"/>
                <w:kern w:val="0"/>
                <w:sz w:val="18"/>
                <w:szCs w:val="18"/>
              </w:rPr>
            </w:pPr>
            <w:r>
              <w:rPr>
                <w:rFonts w:hint="eastAsia" w:ascii="仿宋" w:hAnsi="仿宋" w:eastAsia="仿宋" w:cs="仿宋"/>
                <w:sz w:val="24"/>
              </w:rPr>
              <w:t>网络课程建设</w:t>
            </w:r>
          </w:p>
        </w:tc>
        <w:tc>
          <w:tcPr>
            <w:tcW w:w="1080" w:type="dxa"/>
            <w:vMerge w:val="continue"/>
            <w:tcBorders>
              <w:left w:val="nil"/>
              <w:right w:val="single" w:color="auto" w:sz="4" w:space="0"/>
            </w:tcBorders>
          </w:tcPr>
          <w:p w14:paraId="50C74FCC">
            <w:pPr>
              <w:widowControl/>
              <w:jc w:val="center"/>
              <w:rPr>
                <w:rFonts w:ascii="宋体" w:hAnsi="宋体" w:cs="宋体"/>
                <w:color w:val="000000"/>
                <w:kern w:val="0"/>
                <w:sz w:val="18"/>
                <w:szCs w:val="18"/>
              </w:rPr>
            </w:pPr>
          </w:p>
        </w:tc>
      </w:tr>
      <w:tr w14:paraId="02AB12DA">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6E9C0F56">
            <w:pPr>
              <w:widowControl/>
              <w:jc w:val="center"/>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435C7558">
            <w:pPr>
              <w:widowControl/>
              <w:jc w:val="center"/>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6810718B">
            <w:pPr>
              <w:widowControl/>
              <w:jc w:val="center"/>
              <w:rPr>
                <w:rFonts w:ascii="宋体" w:hAnsi="宋体" w:cs="宋体"/>
                <w:kern w:val="0"/>
                <w:sz w:val="18"/>
                <w:szCs w:val="18"/>
              </w:rPr>
            </w:pPr>
          </w:p>
        </w:tc>
        <w:tc>
          <w:tcPr>
            <w:tcW w:w="4974" w:type="dxa"/>
            <w:tcBorders>
              <w:top w:val="nil"/>
              <w:left w:val="nil"/>
              <w:bottom w:val="single" w:color="auto" w:sz="4" w:space="0"/>
              <w:right w:val="single" w:color="auto" w:sz="4" w:space="0"/>
            </w:tcBorders>
            <w:vAlign w:val="center"/>
          </w:tcPr>
          <w:p w14:paraId="067802B4">
            <w:pPr>
              <w:widowControl/>
              <w:jc w:val="center"/>
              <w:rPr>
                <w:rFonts w:ascii="宋体" w:hAnsi="宋体" w:cs="宋体"/>
                <w:color w:val="000000"/>
                <w:kern w:val="0"/>
                <w:sz w:val="18"/>
                <w:szCs w:val="18"/>
              </w:rPr>
            </w:pPr>
            <w:r>
              <w:rPr>
                <w:rFonts w:hint="eastAsia" w:ascii="仿宋" w:hAnsi="仿宋" w:eastAsia="仿宋" w:cs="仿宋"/>
                <w:sz w:val="24"/>
              </w:rPr>
              <w:t>提供课程思政模块库备课资源</w:t>
            </w:r>
          </w:p>
        </w:tc>
        <w:tc>
          <w:tcPr>
            <w:tcW w:w="1080" w:type="dxa"/>
            <w:vMerge w:val="continue"/>
            <w:tcBorders>
              <w:left w:val="nil"/>
              <w:right w:val="single" w:color="auto" w:sz="4" w:space="0"/>
            </w:tcBorders>
          </w:tcPr>
          <w:p w14:paraId="2BE1B6D1">
            <w:pPr>
              <w:widowControl/>
              <w:jc w:val="center"/>
              <w:rPr>
                <w:rFonts w:ascii="宋体" w:hAnsi="宋体" w:cs="宋体"/>
                <w:color w:val="000000"/>
                <w:kern w:val="0"/>
                <w:sz w:val="18"/>
                <w:szCs w:val="18"/>
              </w:rPr>
            </w:pPr>
          </w:p>
        </w:tc>
      </w:tr>
      <w:tr w14:paraId="75723165">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01918043">
            <w:pPr>
              <w:widowControl/>
              <w:jc w:val="left"/>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6B307426">
            <w:pPr>
              <w:widowControl/>
              <w:jc w:val="left"/>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108A7A1F">
            <w:pPr>
              <w:widowControl/>
              <w:jc w:val="left"/>
              <w:rPr>
                <w:rFonts w:ascii="宋体" w:hAnsi="宋体" w:cs="宋体"/>
                <w:color w:val="000000"/>
                <w:kern w:val="0"/>
                <w:sz w:val="18"/>
                <w:szCs w:val="18"/>
              </w:rPr>
            </w:pPr>
          </w:p>
        </w:tc>
        <w:tc>
          <w:tcPr>
            <w:tcW w:w="4974" w:type="dxa"/>
            <w:tcBorders>
              <w:top w:val="nil"/>
              <w:left w:val="nil"/>
              <w:bottom w:val="single" w:color="auto" w:sz="4" w:space="0"/>
              <w:right w:val="single" w:color="auto" w:sz="4" w:space="0"/>
            </w:tcBorders>
            <w:vAlign w:val="center"/>
          </w:tcPr>
          <w:p w14:paraId="1E7B16BD">
            <w:pPr>
              <w:widowControl/>
              <w:jc w:val="center"/>
              <w:rPr>
                <w:rFonts w:ascii="宋体" w:hAnsi="宋体" w:cs="宋体"/>
                <w:color w:val="000000"/>
                <w:kern w:val="0"/>
                <w:sz w:val="18"/>
                <w:szCs w:val="18"/>
              </w:rPr>
            </w:pPr>
            <w:r>
              <w:rPr>
                <w:rFonts w:hint="eastAsia" w:ascii="仿宋" w:hAnsi="仿宋" w:eastAsia="仿宋" w:cs="仿宋"/>
                <w:sz w:val="24"/>
              </w:rPr>
              <w:t>教学互动</w:t>
            </w:r>
          </w:p>
        </w:tc>
        <w:tc>
          <w:tcPr>
            <w:tcW w:w="1080" w:type="dxa"/>
            <w:vMerge w:val="continue"/>
            <w:tcBorders>
              <w:left w:val="nil"/>
              <w:right w:val="single" w:color="auto" w:sz="4" w:space="0"/>
            </w:tcBorders>
          </w:tcPr>
          <w:p w14:paraId="2701306C">
            <w:pPr>
              <w:widowControl/>
              <w:jc w:val="center"/>
              <w:rPr>
                <w:rFonts w:ascii="宋体" w:hAnsi="宋体" w:cs="宋体"/>
                <w:color w:val="000000"/>
                <w:kern w:val="0"/>
                <w:sz w:val="18"/>
                <w:szCs w:val="18"/>
              </w:rPr>
            </w:pPr>
          </w:p>
        </w:tc>
      </w:tr>
      <w:tr w14:paraId="3E9F2E14">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42B883EC">
            <w:pPr>
              <w:widowControl/>
              <w:jc w:val="left"/>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7C590A66">
            <w:pPr>
              <w:widowControl/>
              <w:jc w:val="left"/>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20329242">
            <w:pPr>
              <w:widowControl/>
              <w:jc w:val="left"/>
              <w:rPr>
                <w:rFonts w:ascii="宋体" w:hAnsi="宋体" w:cs="宋体"/>
                <w:color w:val="000000"/>
                <w:kern w:val="0"/>
                <w:sz w:val="18"/>
                <w:szCs w:val="18"/>
              </w:rPr>
            </w:pPr>
          </w:p>
        </w:tc>
        <w:tc>
          <w:tcPr>
            <w:tcW w:w="4974" w:type="dxa"/>
            <w:tcBorders>
              <w:top w:val="nil"/>
              <w:left w:val="nil"/>
              <w:bottom w:val="single" w:color="auto" w:sz="4" w:space="0"/>
              <w:right w:val="single" w:color="auto" w:sz="4" w:space="0"/>
            </w:tcBorders>
            <w:vAlign w:val="center"/>
          </w:tcPr>
          <w:p w14:paraId="354F87F2">
            <w:pPr>
              <w:widowControl/>
              <w:jc w:val="center"/>
              <w:rPr>
                <w:rFonts w:ascii="宋体" w:hAnsi="宋体" w:cs="宋体"/>
                <w:color w:val="000000"/>
                <w:kern w:val="0"/>
                <w:sz w:val="18"/>
                <w:szCs w:val="18"/>
              </w:rPr>
            </w:pPr>
            <w:r>
              <w:rPr>
                <w:rFonts w:hint="eastAsia" w:ascii="仿宋" w:hAnsi="仿宋" w:eastAsia="仿宋" w:cs="仿宋"/>
                <w:sz w:val="24"/>
              </w:rPr>
              <w:t>学习空间</w:t>
            </w:r>
          </w:p>
        </w:tc>
        <w:tc>
          <w:tcPr>
            <w:tcW w:w="1080" w:type="dxa"/>
            <w:vMerge w:val="continue"/>
            <w:tcBorders>
              <w:left w:val="nil"/>
              <w:right w:val="single" w:color="auto" w:sz="4" w:space="0"/>
            </w:tcBorders>
          </w:tcPr>
          <w:p w14:paraId="7180EC92">
            <w:pPr>
              <w:widowControl/>
              <w:jc w:val="center"/>
              <w:rPr>
                <w:rFonts w:ascii="宋体" w:hAnsi="宋体" w:cs="宋体"/>
                <w:color w:val="000000"/>
                <w:kern w:val="0"/>
                <w:sz w:val="18"/>
                <w:szCs w:val="18"/>
              </w:rPr>
            </w:pPr>
          </w:p>
        </w:tc>
      </w:tr>
      <w:tr w14:paraId="6D9FD382">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08750D90">
            <w:pPr>
              <w:widowControl/>
              <w:jc w:val="center"/>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2BC51AEB">
            <w:pPr>
              <w:widowControl/>
              <w:jc w:val="center"/>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2EF1CB31">
            <w:pPr>
              <w:widowControl/>
              <w:jc w:val="center"/>
              <w:rPr>
                <w:rFonts w:ascii="宋体" w:hAnsi="宋体" w:cs="宋体"/>
                <w:color w:val="000000"/>
                <w:kern w:val="0"/>
                <w:sz w:val="18"/>
                <w:szCs w:val="18"/>
              </w:rPr>
            </w:pPr>
          </w:p>
        </w:tc>
        <w:tc>
          <w:tcPr>
            <w:tcW w:w="4974" w:type="dxa"/>
            <w:tcBorders>
              <w:top w:val="nil"/>
              <w:left w:val="nil"/>
              <w:bottom w:val="single" w:color="auto" w:sz="4" w:space="0"/>
              <w:right w:val="single" w:color="auto" w:sz="4" w:space="0"/>
            </w:tcBorders>
            <w:vAlign w:val="center"/>
          </w:tcPr>
          <w:p w14:paraId="72C0633A">
            <w:pPr>
              <w:widowControl/>
              <w:jc w:val="center"/>
              <w:rPr>
                <w:rFonts w:ascii="宋体" w:hAnsi="宋体" w:cs="宋体"/>
                <w:color w:val="000000"/>
                <w:kern w:val="0"/>
                <w:sz w:val="18"/>
                <w:szCs w:val="18"/>
              </w:rPr>
            </w:pPr>
            <w:r>
              <w:rPr>
                <w:rFonts w:hint="eastAsia" w:ascii="仿宋" w:hAnsi="仿宋" w:eastAsia="仿宋" w:cs="仿宋"/>
                <w:sz w:val="24"/>
              </w:rPr>
              <w:t>评测考核资源</w:t>
            </w:r>
          </w:p>
        </w:tc>
        <w:tc>
          <w:tcPr>
            <w:tcW w:w="1080" w:type="dxa"/>
            <w:vMerge w:val="continue"/>
            <w:tcBorders>
              <w:left w:val="nil"/>
              <w:right w:val="single" w:color="auto" w:sz="4" w:space="0"/>
            </w:tcBorders>
          </w:tcPr>
          <w:p w14:paraId="4FD5F61A">
            <w:pPr>
              <w:widowControl/>
              <w:jc w:val="center"/>
              <w:rPr>
                <w:rFonts w:ascii="宋体" w:hAnsi="宋体" w:cs="宋体"/>
                <w:color w:val="000000"/>
                <w:kern w:val="0"/>
                <w:sz w:val="18"/>
                <w:szCs w:val="18"/>
              </w:rPr>
            </w:pPr>
          </w:p>
        </w:tc>
      </w:tr>
      <w:tr w14:paraId="2EAC641D">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369FDA20">
            <w:pPr>
              <w:widowControl/>
              <w:jc w:val="left"/>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6BDE0311">
            <w:pPr>
              <w:widowControl/>
              <w:jc w:val="left"/>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22AFC757">
            <w:pPr>
              <w:widowControl/>
              <w:jc w:val="left"/>
              <w:rPr>
                <w:rFonts w:ascii="宋体" w:hAnsi="宋体" w:cs="宋体"/>
                <w:color w:val="000000"/>
                <w:kern w:val="0"/>
                <w:sz w:val="18"/>
                <w:szCs w:val="18"/>
              </w:rPr>
            </w:pPr>
          </w:p>
        </w:tc>
        <w:tc>
          <w:tcPr>
            <w:tcW w:w="4974" w:type="dxa"/>
            <w:tcBorders>
              <w:top w:val="nil"/>
              <w:left w:val="nil"/>
              <w:bottom w:val="single" w:color="auto" w:sz="4" w:space="0"/>
              <w:right w:val="single" w:color="auto" w:sz="4" w:space="0"/>
            </w:tcBorders>
            <w:vAlign w:val="center"/>
          </w:tcPr>
          <w:p w14:paraId="196D52F0">
            <w:pPr>
              <w:widowControl/>
              <w:jc w:val="center"/>
              <w:rPr>
                <w:rFonts w:ascii="宋体" w:hAnsi="宋体" w:cs="宋体"/>
                <w:color w:val="000000"/>
                <w:kern w:val="0"/>
                <w:sz w:val="18"/>
                <w:szCs w:val="18"/>
              </w:rPr>
            </w:pPr>
            <w:r>
              <w:rPr>
                <w:rFonts w:hint="eastAsia" w:ascii="仿宋" w:hAnsi="仿宋" w:eastAsia="仿宋" w:cs="仿宋"/>
                <w:sz w:val="24"/>
              </w:rPr>
              <w:t>提供虚拟教学团队管理平台</w:t>
            </w:r>
          </w:p>
        </w:tc>
        <w:tc>
          <w:tcPr>
            <w:tcW w:w="1080" w:type="dxa"/>
            <w:vMerge w:val="continue"/>
            <w:tcBorders>
              <w:left w:val="nil"/>
              <w:right w:val="single" w:color="auto" w:sz="4" w:space="0"/>
            </w:tcBorders>
          </w:tcPr>
          <w:p w14:paraId="4C721FED">
            <w:pPr>
              <w:widowControl/>
              <w:jc w:val="center"/>
              <w:rPr>
                <w:rFonts w:ascii="宋体" w:hAnsi="宋体" w:cs="宋体"/>
                <w:color w:val="000000"/>
                <w:kern w:val="0"/>
                <w:sz w:val="18"/>
                <w:szCs w:val="18"/>
              </w:rPr>
            </w:pPr>
          </w:p>
        </w:tc>
      </w:tr>
      <w:tr w14:paraId="4283B6C5">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20B89D0F">
            <w:pPr>
              <w:widowControl/>
              <w:jc w:val="left"/>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37773E41">
            <w:pPr>
              <w:widowControl/>
              <w:jc w:val="left"/>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791064BD">
            <w:pPr>
              <w:widowControl/>
              <w:jc w:val="left"/>
              <w:rPr>
                <w:rFonts w:ascii="宋体" w:hAnsi="宋体" w:cs="宋体"/>
                <w:color w:val="000000"/>
                <w:kern w:val="0"/>
                <w:sz w:val="18"/>
                <w:szCs w:val="18"/>
              </w:rPr>
            </w:pPr>
          </w:p>
        </w:tc>
        <w:tc>
          <w:tcPr>
            <w:tcW w:w="4974" w:type="dxa"/>
            <w:tcBorders>
              <w:top w:val="nil"/>
              <w:left w:val="nil"/>
              <w:bottom w:val="single" w:color="auto" w:sz="4" w:space="0"/>
              <w:right w:val="single" w:color="auto" w:sz="4" w:space="0"/>
            </w:tcBorders>
            <w:vAlign w:val="center"/>
          </w:tcPr>
          <w:p w14:paraId="38DAE70A">
            <w:pPr>
              <w:widowControl/>
              <w:jc w:val="center"/>
              <w:rPr>
                <w:rFonts w:ascii="宋体" w:hAnsi="宋体" w:cs="宋体"/>
                <w:color w:val="000000"/>
                <w:kern w:val="0"/>
                <w:sz w:val="18"/>
                <w:szCs w:val="18"/>
              </w:rPr>
            </w:pPr>
            <w:r>
              <w:rPr>
                <w:rFonts w:hint="eastAsia" w:ascii="仿宋" w:hAnsi="仿宋" w:eastAsia="仿宋" w:cs="仿宋"/>
                <w:sz w:val="24"/>
              </w:rPr>
              <w:t>资源推广</w:t>
            </w:r>
          </w:p>
        </w:tc>
        <w:tc>
          <w:tcPr>
            <w:tcW w:w="1080" w:type="dxa"/>
            <w:vMerge w:val="continue"/>
            <w:tcBorders>
              <w:left w:val="nil"/>
              <w:right w:val="single" w:color="auto" w:sz="4" w:space="0"/>
            </w:tcBorders>
          </w:tcPr>
          <w:p w14:paraId="07368248">
            <w:pPr>
              <w:widowControl/>
              <w:jc w:val="center"/>
              <w:rPr>
                <w:rFonts w:ascii="宋体" w:hAnsi="宋体" w:cs="宋体"/>
                <w:color w:val="000000"/>
                <w:kern w:val="0"/>
                <w:sz w:val="18"/>
                <w:szCs w:val="18"/>
              </w:rPr>
            </w:pPr>
          </w:p>
        </w:tc>
      </w:tr>
      <w:tr w14:paraId="1E0ED36F">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14D57599">
            <w:pPr>
              <w:widowControl/>
              <w:jc w:val="center"/>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74018182">
            <w:pPr>
              <w:widowControl/>
              <w:jc w:val="center"/>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62D4C12D">
            <w:pPr>
              <w:widowControl/>
              <w:jc w:val="center"/>
              <w:rPr>
                <w:rFonts w:ascii="宋体" w:hAnsi="宋体" w:cs="宋体"/>
                <w:color w:val="000000"/>
                <w:kern w:val="0"/>
                <w:sz w:val="18"/>
                <w:szCs w:val="18"/>
              </w:rPr>
            </w:pPr>
          </w:p>
        </w:tc>
        <w:tc>
          <w:tcPr>
            <w:tcW w:w="4974" w:type="dxa"/>
            <w:tcBorders>
              <w:top w:val="nil"/>
              <w:left w:val="nil"/>
              <w:bottom w:val="single" w:color="auto" w:sz="4" w:space="0"/>
              <w:right w:val="single" w:color="auto" w:sz="4" w:space="0"/>
            </w:tcBorders>
            <w:vAlign w:val="center"/>
          </w:tcPr>
          <w:p w14:paraId="7FD1C4A7">
            <w:pPr>
              <w:widowControl/>
              <w:jc w:val="center"/>
              <w:rPr>
                <w:rFonts w:ascii="宋体" w:hAnsi="宋体" w:cs="宋体"/>
                <w:color w:val="000000"/>
                <w:kern w:val="0"/>
                <w:sz w:val="18"/>
                <w:szCs w:val="18"/>
              </w:rPr>
            </w:pPr>
            <w:r>
              <w:rPr>
                <w:rFonts w:hint="eastAsia" w:ascii="仿宋" w:hAnsi="仿宋" w:eastAsia="仿宋" w:cs="仿宋"/>
                <w:sz w:val="24"/>
              </w:rPr>
              <w:t>资源审核机制</w:t>
            </w:r>
          </w:p>
        </w:tc>
        <w:tc>
          <w:tcPr>
            <w:tcW w:w="1080" w:type="dxa"/>
            <w:vMerge w:val="continue"/>
            <w:tcBorders>
              <w:left w:val="nil"/>
              <w:right w:val="single" w:color="auto" w:sz="4" w:space="0"/>
            </w:tcBorders>
          </w:tcPr>
          <w:p w14:paraId="333F2CA7">
            <w:pPr>
              <w:widowControl/>
              <w:jc w:val="center"/>
              <w:rPr>
                <w:rFonts w:ascii="宋体" w:hAnsi="宋体" w:cs="宋体"/>
                <w:color w:val="000000"/>
                <w:kern w:val="0"/>
                <w:sz w:val="18"/>
                <w:szCs w:val="18"/>
              </w:rPr>
            </w:pPr>
          </w:p>
        </w:tc>
      </w:tr>
      <w:tr w14:paraId="7A053CD3">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3D2BD3A8">
            <w:pPr>
              <w:widowControl/>
              <w:jc w:val="left"/>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31E96C8D">
            <w:pPr>
              <w:widowControl/>
              <w:jc w:val="left"/>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034FDB1F">
            <w:pPr>
              <w:widowControl/>
              <w:jc w:val="left"/>
              <w:rPr>
                <w:rFonts w:ascii="宋体" w:hAnsi="宋体" w:cs="宋体"/>
                <w:color w:val="000000"/>
                <w:kern w:val="0"/>
                <w:sz w:val="18"/>
                <w:szCs w:val="18"/>
              </w:rPr>
            </w:pPr>
          </w:p>
        </w:tc>
        <w:tc>
          <w:tcPr>
            <w:tcW w:w="4974" w:type="dxa"/>
            <w:tcBorders>
              <w:top w:val="nil"/>
              <w:left w:val="nil"/>
              <w:bottom w:val="single" w:color="auto" w:sz="4" w:space="0"/>
              <w:right w:val="single" w:color="auto" w:sz="4" w:space="0"/>
            </w:tcBorders>
            <w:vAlign w:val="center"/>
          </w:tcPr>
          <w:p w14:paraId="3E0F677B">
            <w:pPr>
              <w:widowControl/>
              <w:jc w:val="center"/>
              <w:rPr>
                <w:rFonts w:ascii="宋体" w:hAnsi="宋体" w:cs="宋体"/>
                <w:color w:val="000000"/>
                <w:kern w:val="0"/>
                <w:sz w:val="18"/>
                <w:szCs w:val="18"/>
              </w:rPr>
            </w:pPr>
            <w:r>
              <w:rPr>
                <w:rFonts w:hint="eastAsia" w:ascii="仿宋" w:hAnsi="仿宋" w:eastAsia="仿宋" w:cs="仿宋"/>
                <w:sz w:val="24"/>
              </w:rPr>
              <w:t>应用推广</w:t>
            </w:r>
          </w:p>
        </w:tc>
        <w:tc>
          <w:tcPr>
            <w:tcW w:w="1080" w:type="dxa"/>
            <w:vMerge w:val="continue"/>
            <w:tcBorders>
              <w:left w:val="nil"/>
              <w:right w:val="single" w:color="auto" w:sz="4" w:space="0"/>
            </w:tcBorders>
          </w:tcPr>
          <w:p w14:paraId="1EEF4770">
            <w:pPr>
              <w:widowControl/>
              <w:jc w:val="center"/>
              <w:rPr>
                <w:rFonts w:ascii="宋体" w:hAnsi="宋体" w:cs="宋体"/>
                <w:color w:val="000000"/>
                <w:kern w:val="0"/>
                <w:sz w:val="18"/>
                <w:szCs w:val="18"/>
              </w:rPr>
            </w:pPr>
          </w:p>
        </w:tc>
      </w:tr>
      <w:tr w14:paraId="0C57300D">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642F8EB5">
            <w:pPr>
              <w:widowControl/>
              <w:jc w:val="left"/>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782C55D0">
            <w:pPr>
              <w:widowControl/>
              <w:jc w:val="left"/>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1E0F3D03">
            <w:pPr>
              <w:widowControl/>
              <w:jc w:val="left"/>
              <w:rPr>
                <w:rFonts w:ascii="宋体" w:hAnsi="宋体" w:cs="宋体"/>
                <w:color w:val="000000"/>
                <w:kern w:val="0"/>
                <w:sz w:val="18"/>
                <w:szCs w:val="18"/>
              </w:rPr>
            </w:pPr>
          </w:p>
        </w:tc>
        <w:tc>
          <w:tcPr>
            <w:tcW w:w="4974" w:type="dxa"/>
            <w:tcBorders>
              <w:top w:val="nil"/>
              <w:left w:val="nil"/>
              <w:bottom w:val="single" w:color="auto" w:sz="4" w:space="0"/>
              <w:right w:val="single" w:color="auto" w:sz="4" w:space="0"/>
            </w:tcBorders>
            <w:vAlign w:val="center"/>
          </w:tcPr>
          <w:p w14:paraId="7555053B">
            <w:pPr>
              <w:widowControl/>
              <w:jc w:val="center"/>
              <w:rPr>
                <w:rFonts w:ascii="宋体" w:hAnsi="宋体" w:cs="宋体"/>
                <w:color w:val="000000"/>
                <w:kern w:val="0"/>
                <w:sz w:val="18"/>
                <w:szCs w:val="18"/>
              </w:rPr>
            </w:pPr>
            <w:r>
              <w:rPr>
                <w:rFonts w:hint="eastAsia" w:ascii="仿宋" w:hAnsi="仿宋" w:eastAsia="仿宋" w:cs="仿宋"/>
                <w:sz w:val="24"/>
              </w:rPr>
              <w:t>数据统计</w:t>
            </w:r>
          </w:p>
        </w:tc>
        <w:tc>
          <w:tcPr>
            <w:tcW w:w="1080" w:type="dxa"/>
            <w:vMerge w:val="continue"/>
            <w:tcBorders>
              <w:left w:val="nil"/>
              <w:right w:val="single" w:color="auto" w:sz="4" w:space="0"/>
            </w:tcBorders>
          </w:tcPr>
          <w:p w14:paraId="04187F62">
            <w:pPr>
              <w:widowControl/>
              <w:jc w:val="center"/>
              <w:rPr>
                <w:rFonts w:ascii="宋体" w:hAnsi="宋体" w:cs="宋体"/>
                <w:color w:val="000000"/>
                <w:kern w:val="0"/>
                <w:sz w:val="18"/>
                <w:szCs w:val="18"/>
              </w:rPr>
            </w:pPr>
          </w:p>
        </w:tc>
      </w:tr>
      <w:tr w14:paraId="3B0D6489">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57709A1E">
            <w:pPr>
              <w:widowControl/>
              <w:jc w:val="center"/>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13122FB1">
            <w:pPr>
              <w:widowControl/>
              <w:jc w:val="center"/>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50192BE9">
            <w:pPr>
              <w:widowControl/>
              <w:jc w:val="center"/>
              <w:rPr>
                <w:rFonts w:ascii="宋体" w:hAnsi="宋体" w:cs="宋体"/>
                <w:color w:val="000000"/>
                <w:kern w:val="0"/>
                <w:sz w:val="18"/>
                <w:szCs w:val="18"/>
              </w:rPr>
            </w:pPr>
          </w:p>
        </w:tc>
        <w:tc>
          <w:tcPr>
            <w:tcW w:w="4974" w:type="dxa"/>
            <w:tcBorders>
              <w:top w:val="nil"/>
              <w:left w:val="nil"/>
              <w:bottom w:val="single" w:color="auto" w:sz="4" w:space="0"/>
              <w:right w:val="single" w:color="auto" w:sz="4" w:space="0"/>
            </w:tcBorders>
            <w:vAlign w:val="center"/>
          </w:tcPr>
          <w:p w14:paraId="36227C79">
            <w:pPr>
              <w:widowControl/>
              <w:jc w:val="center"/>
              <w:rPr>
                <w:rFonts w:ascii="宋体" w:hAnsi="宋体" w:cs="宋体"/>
                <w:color w:val="000000"/>
                <w:kern w:val="0"/>
                <w:sz w:val="18"/>
                <w:szCs w:val="18"/>
              </w:rPr>
            </w:pPr>
            <w:r>
              <w:rPr>
                <w:rFonts w:hint="eastAsia" w:ascii="仿宋" w:hAnsi="仿宋" w:eastAsia="仿宋" w:cs="仿宋"/>
                <w:sz w:val="24"/>
              </w:rPr>
              <w:t>站点管理</w:t>
            </w:r>
          </w:p>
        </w:tc>
        <w:tc>
          <w:tcPr>
            <w:tcW w:w="1080" w:type="dxa"/>
            <w:vMerge w:val="continue"/>
            <w:tcBorders>
              <w:left w:val="nil"/>
              <w:right w:val="single" w:color="auto" w:sz="4" w:space="0"/>
            </w:tcBorders>
          </w:tcPr>
          <w:p w14:paraId="12C9D38F">
            <w:pPr>
              <w:widowControl/>
              <w:jc w:val="center"/>
              <w:rPr>
                <w:rFonts w:ascii="宋体" w:hAnsi="宋体" w:cs="宋体"/>
                <w:color w:val="000000"/>
                <w:kern w:val="0"/>
                <w:sz w:val="18"/>
                <w:szCs w:val="18"/>
              </w:rPr>
            </w:pPr>
          </w:p>
        </w:tc>
      </w:tr>
      <w:tr w14:paraId="56E7C993">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47AC3108">
            <w:pPr>
              <w:widowControl/>
              <w:jc w:val="left"/>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5FE6913E">
            <w:pPr>
              <w:widowControl/>
              <w:jc w:val="left"/>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7E33B289">
            <w:pPr>
              <w:widowControl/>
              <w:jc w:val="left"/>
              <w:rPr>
                <w:rFonts w:ascii="宋体" w:hAnsi="宋体" w:cs="宋体"/>
                <w:color w:val="000000"/>
                <w:kern w:val="0"/>
                <w:sz w:val="18"/>
                <w:szCs w:val="18"/>
              </w:rPr>
            </w:pPr>
          </w:p>
        </w:tc>
        <w:tc>
          <w:tcPr>
            <w:tcW w:w="4974" w:type="dxa"/>
            <w:tcBorders>
              <w:top w:val="nil"/>
              <w:left w:val="nil"/>
              <w:bottom w:val="single" w:color="auto" w:sz="4" w:space="0"/>
              <w:right w:val="single" w:color="auto" w:sz="4" w:space="0"/>
            </w:tcBorders>
            <w:vAlign w:val="center"/>
          </w:tcPr>
          <w:p w14:paraId="36063F15">
            <w:pPr>
              <w:widowControl/>
              <w:jc w:val="center"/>
              <w:rPr>
                <w:rFonts w:ascii="宋体" w:hAnsi="宋体" w:cs="宋体"/>
                <w:color w:val="000000"/>
                <w:kern w:val="0"/>
                <w:sz w:val="18"/>
                <w:szCs w:val="18"/>
              </w:rPr>
            </w:pPr>
            <w:r>
              <w:rPr>
                <w:rFonts w:hint="eastAsia" w:ascii="仿宋" w:hAnsi="仿宋" w:eastAsia="仿宋" w:cs="仿宋"/>
                <w:sz w:val="24"/>
              </w:rPr>
              <w:t>用户管理</w:t>
            </w:r>
          </w:p>
        </w:tc>
        <w:tc>
          <w:tcPr>
            <w:tcW w:w="1080" w:type="dxa"/>
            <w:vMerge w:val="continue"/>
            <w:tcBorders>
              <w:left w:val="nil"/>
              <w:right w:val="single" w:color="auto" w:sz="4" w:space="0"/>
            </w:tcBorders>
          </w:tcPr>
          <w:p w14:paraId="4FBE88CA">
            <w:pPr>
              <w:widowControl/>
              <w:jc w:val="center"/>
              <w:rPr>
                <w:rFonts w:ascii="宋体" w:hAnsi="宋体" w:cs="宋体"/>
                <w:color w:val="000000"/>
                <w:kern w:val="0"/>
                <w:sz w:val="18"/>
                <w:szCs w:val="18"/>
              </w:rPr>
            </w:pPr>
          </w:p>
        </w:tc>
      </w:tr>
      <w:tr w14:paraId="5D7F795B">
        <w:tblPrEx>
          <w:tblCellMar>
            <w:top w:w="0" w:type="dxa"/>
            <w:left w:w="108" w:type="dxa"/>
            <w:bottom w:w="0" w:type="dxa"/>
            <w:right w:w="108" w:type="dxa"/>
          </w:tblCellMar>
        </w:tblPrEx>
        <w:trPr>
          <w:trHeight w:val="552" w:hRule="atLeast"/>
        </w:trPr>
        <w:tc>
          <w:tcPr>
            <w:tcW w:w="613" w:type="dxa"/>
            <w:vMerge w:val="continue"/>
            <w:tcBorders>
              <w:left w:val="single" w:color="auto" w:sz="4" w:space="0"/>
              <w:right w:val="single" w:color="auto" w:sz="4" w:space="0"/>
            </w:tcBorders>
            <w:vAlign w:val="center"/>
          </w:tcPr>
          <w:p w14:paraId="050A90A3">
            <w:pPr>
              <w:widowControl/>
              <w:jc w:val="left"/>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76DA4E33">
            <w:pPr>
              <w:widowControl/>
              <w:jc w:val="left"/>
              <w:rPr>
                <w:rFonts w:ascii="宋体" w:hAnsi="宋体" w:cs="宋体"/>
                <w:color w:val="000000"/>
                <w:kern w:val="0"/>
                <w:sz w:val="18"/>
                <w:szCs w:val="18"/>
              </w:rPr>
            </w:pPr>
          </w:p>
        </w:tc>
        <w:tc>
          <w:tcPr>
            <w:tcW w:w="1346" w:type="dxa"/>
            <w:vMerge w:val="continue"/>
            <w:tcBorders>
              <w:left w:val="single" w:color="auto" w:sz="4" w:space="0"/>
              <w:right w:val="single" w:color="auto" w:sz="4" w:space="0"/>
            </w:tcBorders>
            <w:vAlign w:val="center"/>
          </w:tcPr>
          <w:p w14:paraId="721B03F4">
            <w:pPr>
              <w:widowControl/>
              <w:jc w:val="left"/>
              <w:rPr>
                <w:rFonts w:ascii="宋体" w:hAnsi="宋体" w:cs="宋体"/>
                <w:color w:val="000000"/>
                <w:kern w:val="0"/>
                <w:sz w:val="18"/>
                <w:szCs w:val="18"/>
              </w:rPr>
            </w:pPr>
          </w:p>
        </w:tc>
        <w:tc>
          <w:tcPr>
            <w:tcW w:w="4974" w:type="dxa"/>
            <w:tcBorders>
              <w:top w:val="nil"/>
              <w:left w:val="nil"/>
              <w:bottom w:val="single" w:color="auto" w:sz="4" w:space="0"/>
              <w:right w:val="single" w:color="auto" w:sz="4" w:space="0"/>
            </w:tcBorders>
            <w:vAlign w:val="center"/>
          </w:tcPr>
          <w:p w14:paraId="778D7007">
            <w:pPr>
              <w:widowControl/>
              <w:jc w:val="center"/>
              <w:rPr>
                <w:rFonts w:ascii="宋体" w:hAnsi="宋体" w:cs="宋体"/>
                <w:color w:val="000000"/>
                <w:kern w:val="0"/>
                <w:sz w:val="18"/>
                <w:szCs w:val="18"/>
              </w:rPr>
            </w:pPr>
            <w:r>
              <w:rPr>
                <w:rFonts w:hint="eastAsia" w:ascii="仿宋" w:hAnsi="仿宋" w:eastAsia="仿宋" w:cs="仿宋"/>
                <w:sz w:val="24"/>
              </w:rPr>
              <w:t>权限管理</w:t>
            </w:r>
          </w:p>
        </w:tc>
        <w:tc>
          <w:tcPr>
            <w:tcW w:w="1080" w:type="dxa"/>
            <w:vMerge w:val="continue"/>
            <w:tcBorders>
              <w:left w:val="nil"/>
              <w:right w:val="single" w:color="auto" w:sz="4" w:space="0"/>
            </w:tcBorders>
          </w:tcPr>
          <w:p w14:paraId="586794AA">
            <w:pPr>
              <w:widowControl/>
              <w:jc w:val="center"/>
              <w:rPr>
                <w:rFonts w:ascii="宋体" w:hAnsi="宋体" w:cs="宋体"/>
                <w:color w:val="000000"/>
                <w:kern w:val="0"/>
                <w:sz w:val="18"/>
                <w:szCs w:val="18"/>
              </w:rPr>
            </w:pPr>
          </w:p>
        </w:tc>
      </w:tr>
      <w:tr w14:paraId="3B60E391">
        <w:tblPrEx>
          <w:tblCellMar>
            <w:top w:w="0" w:type="dxa"/>
            <w:left w:w="108" w:type="dxa"/>
            <w:bottom w:w="0" w:type="dxa"/>
            <w:right w:w="108" w:type="dxa"/>
          </w:tblCellMar>
        </w:tblPrEx>
        <w:trPr>
          <w:trHeight w:val="552" w:hRule="atLeast"/>
        </w:trPr>
        <w:tc>
          <w:tcPr>
            <w:tcW w:w="613" w:type="dxa"/>
            <w:vMerge w:val="continue"/>
            <w:tcBorders>
              <w:left w:val="single" w:color="auto" w:sz="4" w:space="0"/>
              <w:bottom w:val="single" w:color="auto" w:sz="4" w:space="0"/>
              <w:right w:val="single" w:color="auto" w:sz="4" w:space="0"/>
            </w:tcBorders>
            <w:vAlign w:val="center"/>
          </w:tcPr>
          <w:p w14:paraId="6A9FEBC5">
            <w:pPr>
              <w:widowControl/>
              <w:jc w:val="center"/>
              <w:rPr>
                <w:rFonts w:ascii="宋体" w:hAnsi="宋体" w:cs="宋体"/>
                <w:color w:val="000000"/>
                <w:kern w:val="0"/>
                <w:sz w:val="18"/>
                <w:szCs w:val="18"/>
              </w:rPr>
            </w:pPr>
          </w:p>
        </w:tc>
        <w:tc>
          <w:tcPr>
            <w:tcW w:w="1334" w:type="dxa"/>
            <w:vMerge w:val="continue"/>
            <w:tcBorders>
              <w:left w:val="single" w:color="auto" w:sz="4" w:space="0"/>
              <w:right w:val="single" w:color="auto" w:sz="4" w:space="0"/>
            </w:tcBorders>
            <w:vAlign w:val="center"/>
          </w:tcPr>
          <w:p w14:paraId="4B1BC061">
            <w:pPr>
              <w:widowControl/>
              <w:jc w:val="center"/>
              <w:rPr>
                <w:rFonts w:ascii="宋体" w:hAnsi="宋体" w:cs="宋体"/>
                <w:color w:val="000000"/>
                <w:kern w:val="0"/>
                <w:sz w:val="18"/>
                <w:szCs w:val="18"/>
              </w:rPr>
            </w:pPr>
          </w:p>
        </w:tc>
        <w:tc>
          <w:tcPr>
            <w:tcW w:w="1346" w:type="dxa"/>
            <w:vMerge w:val="continue"/>
            <w:tcBorders>
              <w:left w:val="single" w:color="auto" w:sz="4" w:space="0"/>
              <w:bottom w:val="single" w:color="auto" w:sz="4" w:space="0"/>
              <w:right w:val="single" w:color="auto" w:sz="4" w:space="0"/>
            </w:tcBorders>
            <w:vAlign w:val="center"/>
          </w:tcPr>
          <w:p w14:paraId="581DBA7E">
            <w:pPr>
              <w:widowControl/>
              <w:jc w:val="center"/>
              <w:rPr>
                <w:rFonts w:ascii="宋体" w:hAnsi="宋体" w:cs="宋体"/>
                <w:color w:val="000000"/>
                <w:kern w:val="0"/>
                <w:sz w:val="18"/>
                <w:szCs w:val="18"/>
              </w:rPr>
            </w:pPr>
          </w:p>
        </w:tc>
        <w:tc>
          <w:tcPr>
            <w:tcW w:w="4974" w:type="dxa"/>
            <w:tcBorders>
              <w:top w:val="nil"/>
              <w:left w:val="nil"/>
              <w:bottom w:val="single" w:color="auto" w:sz="4" w:space="0"/>
              <w:right w:val="single" w:color="auto" w:sz="4" w:space="0"/>
            </w:tcBorders>
            <w:vAlign w:val="center"/>
          </w:tcPr>
          <w:p w14:paraId="0DE4847A">
            <w:pPr>
              <w:widowControl/>
              <w:jc w:val="center"/>
              <w:rPr>
                <w:rFonts w:ascii="宋体" w:hAnsi="宋体" w:cs="宋体"/>
                <w:color w:val="000000"/>
                <w:kern w:val="0"/>
                <w:sz w:val="18"/>
                <w:szCs w:val="18"/>
              </w:rPr>
            </w:pPr>
            <w:r>
              <w:rPr>
                <w:rFonts w:hint="eastAsia" w:ascii="仿宋" w:hAnsi="仿宋" w:eastAsia="仿宋" w:cs="仿宋"/>
                <w:sz w:val="24"/>
              </w:rPr>
              <w:t>超盾安全检测</w:t>
            </w:r>
          </w:p>
        </w:tc>
        <w:tc>
          <w:tcPr>
            <w:tcW w:w="1080" w:type="dxa"/>
            <w:vMerge w:val="continue"/>
            <w:tcBorders>
              <w:left w:val="nil"/>
              <w:right w:val="single" w:color="auto" w:sz="4" w:space="0"/>
            </w:tcBorders>
          </w:tcPr>
          <w:p w14:paraId="65257B0F">
            <w:pPr>
              <w:widowControl/>
              <w:jc w:val="center"/>
              <w:rPr>
                <w:rFonts w:ascii="宋体" w:hAnsi="宋体" w:cs="宋体"/>
                <w:color w:val="000000"/>
                <w:kern w:val="0"/>
                <w:sz w:val="18"/>
                <w:szCs w:val="18"/>
              </w:rPr>
            </w:pPr>
          </w:p>
        </w:tc>
      </w:tr>
      <w:tr w14:paraId="086F39C1">
        <w:tblPrEx>
          <w:tblCellMar>
            <w:top w:w="0" w:type="dxa"/>
            <w:left w:w="108" w:type="dxa"/>
            <w:bottom w:w="0" w:type="dxa"/>
            <w:right w:w="108" w:type="dxa"/>
          </w:tblCellMar>
        </w:tblPrEx>
        <w:trPr>
          <w:trHeight w:val="552" w:hRule="atLeast"/>
        </w:trPr>
        <w:tc>
          <w:tcPr>
            <w:tcW w:w="8267" w:type="dxa"/>
            <w:gridSpan w:val="4"/>
            <w:tcBorders>
              <w:top w:val="single" w:color="auto" w:sz="4" w:space="0"/>
              <w:left w:val="single" w:color="auto" w:sz="4" w:space="0"/>
              <w:bottom w:val="single" w:color="auto" w:sz="4" w:space="0"/>
              <w:right w:val="single" w:color="auto" w:sz="4" w:space="0"/>
            </w:tcBorders>
            <w:noWrap/>
            <w:vAlign w:val="center"/>
          </w:tcPr>
          <w:p w14:paraId="49954841">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合计（元）</w:t>
            </w:r>
          </w:p>
        </w:tc>
        <w:tc>
          <w:tcPr>
            <w:tcW w:w="1080" w:type="dxa"/>
            <w:tcBorders>
              <w:top w:val="single" w:color="auto" w:sz="4" w:space="0"/>
              <w:left w:val="single" w:color="auto" w:sz="4" w:space="0"/>
              <w:bottom w:val="single" w:color="auto" w:sz="4" w:space="0"/>
              <w:right w:val="single" w:color="auto" w:sz="4" w:space="0"/>
            </w:tcBorders>
            <w:noWrap/>
            <w:vAlign w:val="center"/>
          </w:tcPr>
          <w:p w14:paraId="7DE913B1">
            <w:pPr>
              <w:widowControl/>
              <w:jc w:val="center"/>
              <w:rPr>
                <w:rFonts w:ascii="宋体" w:hAnsi="宋体" w:cs="宋体"/>
                <w:color w:val="000000"/>
                <w:kern w:val="0"/>
                <w:sz w:val="18"/>
                <w:szCs w:val="18"/>
              </w:rPr>
            </w:pPr>
          </w:p>
        </w:tc>
      </w:tr>
    </w:tbl>
    <w:p w14:paraId="0F6D927D">
      <w:pPr>
        <w:spacing w:line="560" w:lineRule="exact"/>
        <w:jc w:val="center"/>
        <w:rPr>
          <w:rFonts w:ascii="宋体" w:hAnsi="宋体"/>
          <w:sz w:val="22"/>
        </w:rPr>
      </w:pPr>
    </w:p>
    <w:p w14:paraId="49AD5260">
      <w:pPr>
        <w:snapToGrid w:val="0"/>
        <w:spacing w:line="460" w:lineRule="exact"/>
        <w:rPr>
          <w:rFonts w:hAnsi="宋体"/>
          <w:szCs w:val="21"/>
        </w:rPr>
      </w:pPr>
      <w:r>
        <w:rPr>
          <w:rFonts w:hint="eastAsia" w:hAnsi="宋体"/>
          <w:szCs w:val="21"/>
        </w:rPr>
        <w:t>注：附件2“合计”要与附件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2AB5A20E">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03D864EC">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0CA3B1E0">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56E1C5A6">
      <w:pPr>
        <w:snapToGrid w:val="0"/>
        <w:spacing w:line="460" w:lineRule="exact"/>
        <w:ind w:firstLine="411" w:firstLineChars="196"/>
        <w:rPr>
          <w:rFonts w:hAnsi="宋体"/>
          <w:szCs w:val="21"/>
        </w:rPr>
      </w:pPr>
    </w:p>
    <w:p w14:paraId="228EC1F1">
      <w:pPr>
        <w:snapToGrid w:val="0"/>
        <w:spacing w:line="460" w:lineRule="exact"/>
        <w:ind w:firstLine="411" w:firstLineChars="196"/>
        <w:rPr>
          <w:rFonts w:hAnsi="宋体"/>
          <w:szCs w:val="21"/>
        </w:rPr>
      </w:pPr>
    </w:p>
    <w:p w14:paraId="29D89781">
      <w:pPr>
        <w:rPr>
          <w:rFonts w:ascii="宋体" w:hAnsi="宋体" w:cs="宋体"/>
          <w:b/>
          <w:sz w:val="24"/>
        </w:rPr>
      </w:pPr>
      <w:r>
        <w:rPr>
          <w:rFonts w:hint="eastAsia"/>
          <w:b/>
          <w:sz w:val="24"/>
        </w:rPr>
        <w:t>（注：本报价表为必要文件，必须加盖报价供应商公章，否则作无效报价处理）</w:t>
      </w:r>
    </w:p>
    <w:p w14:paraId="15AD570C">
      <w:pPr>
        <w:rPr>
          <w:rFonts w:ascii="宋体" w:hAnsi="宋体" w:cs="宋体"/>
          <w:b/>
          <w:sz w:val="24"/>
        </w:rPr>
      </w:pPr>
      <w:r>
        <w:rPr>
          <w:rFonts w:hint="eastAsia" w:ascii="宋体" w:hAnsi="宋体" w:cs="宋体"/>
          <w:b/>
          <w:sz w:val="24"/>
        </w:rPr>
        <w:br w:type="page"/>
      </w:r>
    </w:p>
    <w:p w14:paraId="33E423D8">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3A999F04">
      <w:pPr>
        <w:pStyle w:val="3"/>
        <w:spacing w:before="0" w:after="0" w:line="400" w:lineRule="exact"/>
        <w:rPr>
          <w:rFonts w:ascii="宋体" w:hAnsi="宋体" w:cs="宋体"/>
          <w:szCs w:val="28"/>
        </w:rPr>
      </w:pPr>
    </w:p>
    <w:p w14:paraId="69760102">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7A123321">
      <w:pPr>
        <w:pStyle w:val="18"/>
        <w:spacing w:line="480" w:lineRule="auto"/>
        <w:ind w:firstLine="0" w:firstLineChars="0"/>
        <w:jc w:val="left"/>
        <w:rPr>
          <w:rFonts w:ascii="仿宋" w:hAnsi="仿宋" w:eastAsia="仿宋" w:cs="仿宋"/>
          <w:sz w:val="24"/>
        </w:rPr>
      </w:pPr>
    </w:p>
    <w:p w14:paraId="2D2644AB">
      <w:pPr>
        <w:pStyle w:val="18"/>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14:paraId="21FDCA9C">
      <w:pPr>
        <w:pStyle w:val="18"/>
        <w:ind w:firstLine="480"/>
        <w:jc w:val="left"/>
        <w:rPr>
          <w:rFonts w:ascii="宋体" w:hAnsi="宋体" w:cs="宋体"/>
          <w:sz w:val="24"/>
        </w:rPr>
      </w:pPr>
    </w:p>
    <w:p w14:paraId="7AE1323F">
      <w:pPr>
        <w:tabs>
          <w:tab w:val="left" w:pos="676"/>
          <w:tab w:val="left" w:pos="2330"/>
          <w:tab w:val="left" w:pos="9230"/>
        </w:tabs>
        <w:autoSpaceDE w:val="0"/>
        <w:autoSpaceDN w:val="0"/>
        <w:adjustRightInd w:val="0"/>
        <w:rPr>
          <w:rFonts w:ascii="宋体" w:hAnsi="宋体" w:cs="宋体"/>
          <w:sz w:val="24"/>
        </w:rPr>
      </w:pPr>
    </w:p>
    <w:p w14:paraId="08C04687">
      <w:pPr>
        <w:tabs>
          <w:tab w:val="left" w:pos="676"/>
          <w:tab w:val="left" w:pos="2330"/>
          <w:tab w:val="left" w:pos="9230"/>
        </w:tabs>
        <w:autoSpaceDE w:val="0"/>
        <w:autoSpaceDN w:val="0"/>
        <w:adjustRightInd w:val="0"/>
        <w:rPr>
          <w:rFonts w:ascii="宋体" w:hAnsi="宋体" w:cs="宋体"/>
          <w:sz w:val="24"/>
        </w:rPr>
      </w:pPr>
    </w:p>
    <w:p w14:paraId="60C049E2">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26EE765E">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4A72AF68">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1B61073A">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740E7C04">
      <w:pPr>
        <w:rPr>
          <w:rFonts w:cs="Tahoma"/>
          <w:b/>
          <w:sz w:val="24"/>
        </w:rPr>
      </w:pPr>
    </w:p>
    <w:p w14:paraId="1BD81926">
      <w:pPr>
        <w:rPr>
          <w:rFonts w:cs="Tahoma"/>
          <w:b/>
          <w:sz w:val="24"/>
        </w:rPr>
      </w:pPr>
    </w:p>
    <w:p w14:paraId="42B85D62">
      <w:pPr>
        <w:rPr>
          <w:rFonts w:cs="Tahoma"/>
          <w:b/>
          <w:sz w:val="24"/>
        </w:rPr>
      </w:pPr>
    </w:p>
    <w:p w14:paraId="75AC1D01">
      <w:pPr>
        <w:rPr>
          <w:rFonts w:cs="Tahoma"/>
          <w:b/>
          <w:sz w:val="24"/>
        </w:rPr>
      </w:pPr>
    </w:p>
    <w:p w14:paraId="4985A9A5">
      <w:pPr>
        <w:rPr>
          <w:rFonts w:cs="Tahoma"/>
          <w:b/>
          <w:sz w:val="24"/>
        </w:rPr>
      </w:pPr>
    </w:p>
    <w:p w14:paraId="4817200F">
      <w:pPr>
        <w:rPr>
          <w:rFonts w:cs="Tahoma"/>
          <w:b/>
          <w:sz w:val="24"/>
        </w:rPr>
      </w:pPr>
    </w:p>
    <w:p w14:paraId="3B91E4C2">
      <w:pPr>
        <w:rPr>
          <w:rFonts w:cs="Tahoma"/>
          <w:b/>
          <w:sz w:val="24"/>
        </w:rPr>
      </w:pPr>
    </w:p>
    <w:p w14:paraId="310FBE73">
      <w:pPr>
        <w:rPr>
          <w:rFonts w:cs="Tahoma"/>
          <w:b/>
          <w:sz w:val="24"/>
        </w:rPr>
      </w:pPr>
    </w:p>
    <w:p w14:paraId="24CEE824">
      <w:pPr>
        <w:pStyle w:val="9"/>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B11DD7"/>
    <w:multiLevelType w:val="singleLevel"/>
    <w:tmpl w:val="86B11DD7"/>
    <w:lvl w:ilvl="0" w:tentative="0">
      <w:start w:val="1"/>
      <w:numFmt w:val="decimalEnclosedCircleChinese"/>
      <w:suff w:val="nothing"/>
      <w:lvlText w:val="%1　"/>
      <w:lvlJc w:val="left"/>
      <w:pPr>
        <w:ind w:left="0" w:firstLine="400"/>
      </w:pPr>
      <w:rPr>
        <w:rFonts w:hint="eastAsia"/>
      </w:rPr>
    </w:lvl>
  </w:abstractNum>
  <w:abstractNum w:abstractNumId="1">
    <w:nsid w:val="9EC474F6"/>
    <w:multiLevelType w:val="singleLevel"/>
    <w:tmpl w:val="9EC474F6"/>
    <w:lvl w:ilvl="0" w:tentative="0">
      <w:start w:val="1"/>
      <w:numFmt w:val="decimalEnclosedCircleChinese"/>
      <w:suff w:val="nothing"/>
      <w:lvlText w:val="%1　"/>
      <w:lvlJc w:val="left"/>
      <w:pPr>
        <w:ind w:left="0" w:firstLine="400"/>
      </w:pPr>
      <w:rPr>
        <w:rFonts w:hint="eastAsia"/>
      </w:rPr>
    </w:lvl>
  </w:abstractNum>
  <w:abstractNum w:abstractNumId="2">
    <w:nsid w:val="A8DAA6FA"/>
    <w:multiLevelType w:val="singleLevel"/>
    <w:tmpl w:val="A8DAA6FA"/>
    <w:lvl w:ilvl="0" w:tentative="0">
      <w:start w:val="1"/>
      <w:numFmt w:val="decimalEnclosedCircleChinese"/>
      <w:suff w:val="nothing"/>
      <w:lvlText w:val="%1　"/>
      <w:lvlJc w:val="left"/>
      <w:pPr>
        <w:ind w:left="0" w:firstLine="400"/>
      </w:pPr>
      <w:rPr>
        <w:rFonts w:hint="eastAsia"/>
      </w:rPr>
    </w:lvl>
  </w:abstractNum>
  <w:abstractNum w:abstractNumId="3">
    <w:nsid w:val="C993BC98"/>
    <w:multiLevelType w:val="singleLevel"/>
    <w:tmpl w:val="C993BC98"/>
    <w:lvl w:ilvl="0" w:tentative="0">
      <w:start w:val="1"/>
      <w:numFmt w:val="decimalEnclosedCircleChinese"/>
      <w:suff w:val="nothing"/>
      <w:lvlText w:val="%1　"/>
      <w:lvlJc w:val="left"/>
      <w:pPr>
        <w:ind w:left="0" w:firstLine="400"/>
      </w:pPr>
      <w:rPr>
        <w:rFonts w:hint="eastAsia"/>
      </w:rPr>
    </w:lvl>
  </w:abstractNum>
  <w:abstractNum w:abstractNumId="4">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5">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6">
    <w:nsid w:val="0BC6C013"/>
    <w:multiLevelType w:val="singleLevel"/>
    <w:tmpl w:val="0BC6C013"/>
    <w:lvl w:ilvl="0" w:tentative="0">
      <w:start w:val="1"/>
      <w:numFmt w:val="decimalEnclosedCircleChinese"/>
      <w:suff w:val="nothing"/>
      <w:lvlText w:val="%1　"/>
      <w:lvlJc w:val="left"/>
      <w:pPr>
        <w:ind w:left="0" w:firstLine="400"/>
      </w:pPr>
      <w:rPr>
        <w:rFonts w:hint="eastAsia"/>
      </w:rPr>
    </w:lvl>
  </w:abstractNum>
  <w:abstractNum w:abstractNumId="7">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8">
    <w:nsid w:val="11E7092F"/>
    <w:multiLevelType w:val="multilevel"/>
    <w:tmpl w:val="11E7092F"/>
    <w:lvl w:ilvl="0" w:tentative="0">
      <w:start w:val="1"/>
      <w:numFmt w:val="japaneseCounting"/>
      <w:lvlText w:val="（%1）"/>
      <w:lvlJc w:val="left"/>
      <w:pPr>
        <w:ind w:left="1305" w:hanging="88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2D415D65"/>
    <w:multiLevelType w:val="singleLevel"/>
    <w:tmpl w:val="2D415D65"/>
    <w:lvl w:ilvl="0" w:tentative="0">
      <w:start w:val="1"/>
      <w:numFmt w:val="decimalEnclosedCircleChinese"/>
      <w:suff w:val="nothing"/>
      <w:lvlText w:val="%1　"/>
      <w:lvlJc w:val="left"/>
      <w:pPr>
        <w:ind w:left="0" w:firstLine="400"/>
      </w:pPr>
      <w:rPr>
        <w:rFonts w:hint="eastAsia"/>
      </w:rPr>
    </w:lvl>
  </w:abstractNum>
  <w:abstractNum w:abstractNumId="10">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11">
    <w:nsid w:val="40D48C6C"/>
    <w:multiLevelType w:val="singleLevel"/>
    <w:tmpl w:val="40D48C6C"/>
    <w:lvl w:ilvl="0" w:tentative="0">
      <w:start w:val="1"/>
      <w:numFmt w:val="decimalEnclosedCircleChinese"/>
      <w:suff w:val="nothing"/>
      <w:lvlText w:val="%1　"/>
      <w:lvlJc w:val="left"/>
      <w:pPr>
        <w:ind w:left="0" w:firstLine="400"/>
      </w:pPr>
      <w:rPr>
        <w:rFonts w:hint="eastAsia"/>
      </w:rPr>
    </w:lvl>
  </w:abstractNum>
  <w:num w:numId="1">
    <w:abstractNumId w:val="5"/>
  </w:num>
  <w:num w:numId="2">
    <w:abstractNumId w:val="7"/>
  </w:num>
  <w:num w:numId="3">
    <w:abstractNumId w:val="4"/>
  </w:num>
  <w:num w:numId="4">
    <w:abstractNumId w:val="8"/>
  </w:num>
  <w:num w:numId="5">
    <w:abstractNumId w:val="1"/>
  </w:num>
  <w:num w:numId="6">
    <w:abstractNumId w:val="3"/>
  </w:num>
  <w:num w:numId="7">
    <w:abstractNumId w:val="0"/>
  </w:num>
  <w:num w:numId="8">
    <w:abstractNumId w:val="6"/>
  </w:num>
  <w:num w:numId="9">
    <w:abstractNumId w:val="2"/>
  </w:num>
  <w:num w:numId="10">
    <w:abstractNumId w:val="1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I0ZTQ3MTY3YzU3ZTNhN2EzZDZjNWJhMzY5ODBmYTAifQ=="/>
  </w:docVars>
  <w:rsids>
    <w:rsidRoot w:val="00C810E5"/>
    <w:rsid w:val="000A7D33"/>
    <w:rsid w:val="0025762C"/>
    <w:rsid w:val="0029264D"/>
    <w:rsid w:val="002B259E"/>
    <w:rsid w:val="003412FB"/>
    <w:rsid w:val="00382DE1"/>
    <w:rsid w:val="003A628C"/>
    <w:rsid w:val="004A78A3"/>
    <w:rsid w:val="004F7630"/>
    <w:rsid w:val="006846A2"/>
    <w:rsid w:val="007C6AD6"/>
    <w:rsid w:val="00892DE4"/>
    <w:rsid w:val="008B3FF9"/>
    <w:rsid w:val="008F1A69"/>
    <w:rsid w:val="009030E7"/>
    <w:rsid w:val="009A0C39"/>
    <w:rsid w:val="00A9108D"/>
    <w:rsid w:val="00B466D8"/>
    <w:rsid w:val="00C74251"/>
    <w:rsid w:val="00C810E5"/>
    <w:rsid w:val="00CA6098"/>
    <w:rsid w:val="00CF04F3"/>
    <w:rsid w:val="00DD7192"/>
    <w:rsid w:val="00E1462A"/>
    <w:rsid w:val="00E40265"/>
    <w:rsid w:val="00E71A59"/>
    <w:rsid w:val="00E9528B"/>
    <w:rsid w:val="00FF31F2"/>
    <w:rsid w:val="03353615"/>
    <w:rsid w:val="05272ECD"/>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3E218A"/>
    <w:rsid w:val="1D440623"/>
    <w:rsid w:val="1DB42CA3"/>
    <w:rsid w:val="1E311151"/>
    <w:rsid w:val="1F507DBE"/>
    <w:rsid w:val="212177E3"/>
    <w:rsid w:val="218C40B5"/>
    <w:rsid w:val="229D1137"/>
    <w:rsid w:val="23610CB6"/>
    <w:rsid w:val="24BB1A74"/>
    <w:rsid w:val="25203CCD"/>
    <w:rsid w:val="264A6E5E"/>
    <w:rsid w:val="27402C58"/>
    <w:rsid w:val="2A17416A"/>
    <w:rsid w:val="2C180514"/>
    <w:rsid w:val="2CD32928"/>
    <w:rsid w:val="2E1609D1"/>
    <w:rsid w:val="2EA65243"/>
    <w:rsid w:val="31993A3E"/>
    <w:rsid w:val="31C52C12"/>
    <w:rsid w:val="35D824D5"/>
    <w:rsid w:val="36A06E2F"/>
    <w:rsid w:val="370945C1"/>
    <w:rsid w:val="375D5654"/>
    <w:rsid w:val="37753A04"/>
    <w:rsid w:val="39142D2B"/>
    <w:rsid w:val="3B3360B0"/>
    <w:rsid w:val="3D5E5656"/>
    <w:rsid w:val="3D840E45"/>
    <w:rsid w:val="3E1F750B"/>
    <w:rsid w:val="3E893E94"/>
    <w:rsid w:val="3F516B05"/>
    <w:rsid w:val="3F9D2CB9"/>
    <w:rsid w:val="411E3BBF"/>
    <w:rsid w:val="4221507E"/>
    <w:rsid w:val="43854442"/>
    <w:rsid w:val="447F13B3"/>
    <w:rsid w:val="44B0765F"/>
    <w:rsid w:val="45ED3300"/>
    <w:rsid w:val="460A3C4D"/>
    <w:rsid w:val="47C67F17"/>
    <w:rsid w:val="48A835D7"/>
    <w:rsid w:val="493F0316"/>
    <w:rsid w:val="49A34401"/>
    <w:rsid w:val="4B1F346C"/>
    <w:rsid w:val="4C0F239E"/>
    <w:rsid w:val="4C800A2A"/>
    <w:rsid w:val="4D1A2C2C"/>
    <w:rsid w:val="4D976207"/>
    <w:rsid w:val="4E3715BC"/>
    <w:rsid w:val="4EA67132"/>
    <w:rsid w:val="508D3CB3"/>
    <w:rsid w:val="50E34490"/>
    <w:rsid w:val="5116195C"/>
    <w:rsid w:val="534327B1"/>
    <w:rsid w:val="536A2CA6"/>
    <w:rsid w:val="53A64BAC"/>
    <w:rsid w:val="56BD287A"/>
    <w:rsid w:val="5A0D41B4"/>
    <w:rsid w:val="5B4D0671"/>
    <w:rsid w:val="5D2B6790"/>
    <w:rsid w:val="5D93012F"/>
    <w:rsid w:val="5F21609C"/>
    <w:rsid w:val="5FA34D03"/>
    <w:rsid w:val="613357C6"/>
    <w:rsid w:val="623A7DB9"/>
    <w:rsid w:val="632E2B36"/>
    <w:rsid w:val="63AB2175"/>
    <w:rsid w:val="63EA3E83"/>
    <w:rsid w:val="64153CF6"/>
    <w:rsid w:val="64C235B4"/>
    <w:rsid w:val="671B3414"/>
    <w:rsid w:val="690043BE"/>
    <w:rsid w:val="69175343"/>
    <w:rsid w:val="6A532BBE"/>
    <w:rsid w:val="6AA5542C"/>
    <w:rsid w:val="6B180D44"/>
    <w:rsid w:val="6C72589E"/>
    <w:rsid w:val="6DA240C6"/>
    <w:rsid w:val="6E864C38"/>
    <w:rsid w:val="6EB92BCC"/>
    <w:rsid w:val="6FEA3571"/>
    <w:rsid w:val="72D1172F"/>
    <w:rsid w:val="7320696C"/>
    <w:rsid w:val="74844CAB"/>
    <w:rsid w:val="74F4798D"/>
    <w:rsid w:val="754937FF"/>
    <w:rsid w:val="75BC4A46"/>
    <w:rsid w:val="762878B8"/>
    <w:rsid w:val="767E3C92"/>
    <w:rsid w:val="76E77774"/>
    <w:rsid w:val="774EE9EE"/>
    <w:rsid w:val="77A91B01"/>
    <w:rsid w:val="781E4519"/>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tabs>
        <w:tab w:val="left" w:pos="425"/>
      </w:tabs>
      <w:spacing w:before="24" w:beforeAutospacing="1" w:after="24" w:afterAutospacing="1"/>
      <w:jc w:val="left"/>
      <w:outlineLvl w:val="0"/>
    </w:pPr>
    <w:rPr>
      <w:rFonts w:ascii="宋体" w:hAnsi="宋体"/>
      <w:b/>
      <w:kern w:val="44"/>
      <w:sz w:val="28"/>
      <w:szCs w:val="2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paragraph" w:styleId="4">
    <w:name w:val="heading 3"/>
    <w:basedOn w:val="1"/>
    <w:next w:val="1"/>
    <w:link w:val="19"/>
    <w:semiHidden/>
    <w:unhideWhenUsed/>
    <w:qFormat/>
    <w:uiPriority w:val="0"/>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6">
    <w:name w:val="Plain Text"/>
    <w:basedOn w:val="1"/>
    <w:autoRedefine/>
    <w:qFormat/>
    <w:uiPriority w:val="0"/>
    <w:rPr>
      <w:rFonts w:ascii="宋体" w:hAnsi="Courier New"/>
      <w:sz w:val="20"/>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1">
    <w:name w:val="Body Text First Indent"/>
    <w:basedOn w:val="5"/>
    <w:autoRedefine/>
    <w:qFormat/>
    <w:uiPriority w:val="0"/>
    <w:pPr>
      <w:spacing w:after="120"/>
      <w:ind w:firstLine="420" w:firstLineChars="100"/>
    </w:pPr>
    <w:rPr>
      <w:rFonts w:ascii="Calibri" w:hAnsi="Calibri"/>
      <w:sz w:val="21"/>
      <w:szCs w:val="22"/>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Default"/>
    <w:next w:val="8"/>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6">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7">
    <w:name w:val="List Paragraph"/>
    <w:basedOn w:val="1"/>
    <w:autoRedefine/>
    <w:unhideWhenUsed/>
    <w:qFormat/>
    <w:uiPriority w:val="34"/>
    <w:pPr>
      <w:ind w:firstLine="420" w:firstLineChars="200"/>
    </w:pPr>
  </w:style>
  <w:style w:type="paragraph" w:customStyle="1" w:styleId="18">
    <w:name w:val="_Style 3"/>
    <w:basedOn w:val="1"/>
    <w:autoRedefine/>
    <w:qFormat/>
    <w:uiPriority w:val="99"/>
    <w:pPr>
      <w:ind w:firstLine="420" w:firstLineChars="200"/>
    </w:pPr>
    <w:rPr>
      <w:sz w:val="20"/>
    </w:rPr>
  </w:style>
  <w:style w:type="character" w:customStyle="1" w:styleId="19">
    <w:name w:val="标题 3 Char"/>
    <w:basedOn w:val="14"/>
    <w:link w:val="4"/>
    <w:semiHidden/>
    <w:qFormat/>
    <w:uiPriority w:val="0"/>
    <w:rPr>
      <w:rFonts w:asciiTheme="minorHAnsi" w:hAnsiTheme="minorHAnsi" w:eastAsiaTheme="minorEastAsia" w:cstheme="minorBidi"/>
      <w:b/>
      <w:bCs/>
      <w:kern w:val="2"/>
      <w:sz w:val="32"/>
      <w:szCs w:val="32"/>
    </w:rPr>
  </w:style>
  <w:style w:type="paragraph" w:customStyle="1" w:styleId="20">
    <w:name w:val="标书正文"/>
    <w:basedOn w:val="1"/>
    <w:qFormat/>
    <w:uiPriority w:val="0"/>
    <w:pPr>
      <w:spacing w:beforeLines="25" w:afterLines="25"/>
      <w:ind w:firstLine="420"/>
    </w:pPr>
    <w:rPr>
      <w:rFonts w:ascii="Calibri" w:hAnsi="Calibri" w:eastAsia="宋体" w:cs="Times New Roman"/>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2CE5572-7A1A-42C0-9057-AF16C21D886F}">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10776</Words>
  <Characters>10932</Characters>
  <Lines>82</Lines>
  <Paragraphs>23</Paragraphs>
  <TotalTime>21</TotalTime>
  <ScaleCrop>false</ScaleCrop>
  <LinksUpToDate>false</LinksUpToDate>
  <CharactersWithSpaces>11192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2025-05-06T12:37:00Z</dcterms:created>
  <dc:creator>nuoxiyu</dc:creator>
  <cp:lastModifiedBy>罗静龙</cp:lastModifiedBy>
  <dcterms:modified xsi:type="dcterms:W3CDTF">2025-05-07T08:44:56Z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FA36E6C9176C42F2B08690C60ECEE83A_13</vt:lpwstr>
  </property>
  <property fmtid="{D5CDD505-2E9C-101B-9397-08002B2CF9AE}" pid="4" name="KSOTemplateDocerSaveRecord">
    <vt:lpwstr>eyJoZGlkIjoiMGQ5ODk4ZWU5MDBlNGRkNTBlNWIxMzAzYTc1ZDBkMmMiLCJ1c2VySWQiOiIzNTQ0NTkxODEifQ==</vt:lpwstr>
  </property>
</Properties>
</file>