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D9585">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广东生态工程职业学院第二期互联带宽接入服务采购项目需求书</w:t>
      </w:r>
    </w:p>
    <w:p w14:paraId="6FC7813F">
      <w:pPr>
        <w:spacing w:line="360" w:lineRule="auto"/>
        <w:jc w:val="left"/>
        <w:rPr>
          <w:rFonts w:hint="eastAsia" w:ascii="宋体" w:hAnsi="宋体" w:eastAsia="宋体" w:cs="宋体"/>
          <w:b w:val="0"/>
          <w:bCs w:val="0"/>
          <w:sz w:val="28"/>
          <w:szCs w:val="28"/>
        </w:rPr>
      </w:pPr>
    </w:p>
    <w:p w14:paraId="72DA3CBC">
      <w:pPr>
        <w:pStyle w:val="17"/>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广东生态工程职业学院第二期互联带宽接入服务采购项目</w:t>
      </w:r>
    </w:p>
    <w:p w14:paraId="4135E351">
      <w:pPr>
        <w:pStyle w:val="17"/>
        <w:keepNext w:val="0"/>
        <w:keepLines w:val="0"/>
        <w:pageBreakBefore w:val="0"/>
        <w:widowControl w:val="0"/>
        <w:numPr>
          <w:ilvl w:val="0"/>
          <w:numId w:val="1"/>
        </w:numPr>
        <w:kinsoku/>
        <w:wordWrap/>
        <w:overflowPunct/>
        <w:topLinePunct w:val="0"/>
        <w:bidi w:val="0"/>
        <w:snapToGrid/>
        <w:spacing w:line="360" w:lineRule="auto"/>
        <w:ind w:left="0" w:leftChars="0" w:firstLine="560" w:firstLineChars="200"/>
        <w:jc w:val="left"/>
        <w:textAlignment w:val="auto"/>
        <w:rPr>
          <w:rFonts w:hint="eastAsia"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项目预算：320000.00元</w:t>
      </w:r>
    </w:p>
    <w:p w14:paraId="1FAC7382">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19A98F0C">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6AC424C5">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40DED7B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5B03BA64">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5B0CE16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12CAD1F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4C70EFD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4C569FC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45AD708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465E8A2A">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2078608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报价供应商须具备广东省政府采购智慧云平台电子卖场-集采馆-定点集市-互联网接入服务资质，以截图纸质加盖公章为准。</w:t>
      </w:r>
    </w:p>
    <w:p w14:paraId="3D1C807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2FEFAF23">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6</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6</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56912F9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724F4EDA">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76D8E4AD">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3E3C0AE3">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2"/>
        <w:tblW w:w="5057" w:type="pct"/>
        <w:jc w:val="center"/>
        <w:tblLayout w:type="autofit"/>
        <w:tblCellMar>
          <w:top w:w="0" w:type="dxa"/>
          <w:left w:w="0" w:type="dxa"/>
          <w:bottom w:w="0" w:type="dxa"/>
          <w:right w:w="0" w:type="dxa"/>
        </w:tblCellMar>
      </w:tblPr>
      <w:tblGrid>
        <w:gridCol w:w="826"/>
        <w:gridCol w:w="3459"/>
        <w:gridCol w:w="4126"/>
      </w:tblGrid>
      <w:tr w14:paraId="0F2535F6">
        <w:tblPrEx>
          <w:tblCellMar>
            <w:top w:w="0" w:type="dxa"/>
            <w:left w:w="0" w:type="dxa"/>
            <w:bottom w:w="0" w:type="dxa"/>
            <w:right w:w="0" w:type="dxa"/>
          </w:tblCellMar>
        </w:tblPrEx>
        <w:trPr>
          <w:trHeight w:val="621" w:hRule="atLeast"/>
          <w:jc w:val="center"/>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CAF14">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205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6A4F4">
            <w:pPr>
              <w:widowControl/>
              <w:jc w:val="center"/>
              <w:textAlignment w:val="center"/>
              <w:rPr>
                <w:rFonts w:hint="default" w:ascii="仿宋" w:hAnsi="仿宋" w:eastAsia="仿宋" w:cs="仿宋"/>
                <w:b/>
                <w:bCs/>
                <w:color w:val="000000"/>
                <w:sz w:val="24"/>
                <w:lang w:val="en-US" w:eastAsia="zh-CN"/>
              </w:rPr>
            </w:pPr>
            <w:r>
              <w:rPr>
                <w:rFonts w:hint="eastAsia" w:ascii="仿宋" w:hAnsi="仿宋" w:eastAsia="仿宋" w:cs="仿宋"/>
                <w:b/>
                <w:bCs/>
                <w:color w:val="000000"/>
                <w:kern w:val="0"/>
                <w:sz w:val="24"/>
                <w:szCs w:val="24"/>
                <w:lang w:val="en-US" w:eastAsia="zh-CN" w:bidi="ar"/>
              </w:rPr>
              <w:t>服务描述</w:t>
            </w:r>
          </w:p>
        </w:tc>
        <w:tc>
          <w:tcPr>
            <w:tcW w:w="245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53A8C">
            <w:pPr>
              <w:widowControl/>
              <w:jc w:val="center"/>
              <w:textAlignment w:val="center"/>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需求描述</w:t>
            </w:r>
          </w:p>
        </w:tc>
      </w:tr>
      <w:tr w14:paraId="137EF572">
        <w:tblPrEx>
          <w:tblCellMar>
            <w:top w:w="0" w:type="dxa"/>
            <w:left w:w="0" w:type="dxa"/>
            <w:bottom w:w="0" w:type="dxa"/>
            <w:right w:w="0" w:type="dxa"/>
          </w:tblCellMar>
        </w:tblPrEx>
        <w:trPr>
          <w:trHeight w:val="3373" w:hRule="atLeast"/>
          <w:jc w:val="center"/>
        </w:trPr>
        <w:tc>
          <w:tcPr>
            <w:tcW w:w="4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A4391">
            <w:pPr>
              <w:widowControl/>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互联带宽接入服务</w:t>
            </w:r>
          </w:p>
        </w:tc>
        <w:tc>
          <w:tcPr>
            <w:tcW w:w="205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A2E6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政策属性：环保</w:t>
            </w:r>
          </w:p>
          <w:p w14:paraId="1D493F0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上行带宽（bps)：1000M</w:t>
            </w:r>
          </w:p>
          <w:p w14:paraId="34331CB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接入点：骨干</w:t>
            </w:r>
          </w:p>
          <w:p w14:paraId="23BB3A3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下行带宽（bps）：2000M</w:t>
            </w:r>
          </w:p>
          <w:p w14:paraId="09BA00C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服务年限：2年</w:t>
            </w:r>
          </w:p>
          <w:p w14:paraId="78E4B99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服务月数：0</w:t>
            </w:r>
          </w:p>
          <w:p w14:paraId="48E47FD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最低公网固定IP（IPv4）地址数量（个）：16</w:t>
            </w:r>
          </w:p>
          <w:p w14:paraId="4840DEB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接入城市：广州</w:t>
            </w:r>
          </w:p>
          <w:p w14:paraId="2E40F0C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接口类型：EPON</w:t>
            </w:r>
          </w:p>
          <w:p w14:paraId="2EC3F53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数量：2</w:t>
            </w:r>
          </w:p>
          <w:p w14:paraId="6CF0E97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80" w:leftChars="0" w:hanging="480" w:hanging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使用动态调整策略：寒暑假90天</w:t>
            </w:r>
          </w:p>
          <w:p w14:paraId="5D323E5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80" w:leftChars="0" w:hanging="480" w:hanging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调整为下行不少于1000M，上行不</w:t>
            </w:r>
          </w:p>
          <w:p w14:paraId="471868C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80" w:leftChars="0" w:hanging="480" w:hanging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少于100M；非寒暑假白天下行不</w:t>
            </w:r>
          </w:p>
          <w:p w14:paraId="4D51DF7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80" w:leftChars="0" w:hanging="480" w:hangingChars="20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少于2000M，晚上不少于1200M</w:t>
            </w:r>
          </w:p>
        </w:tc>
        <w:tc>
          <w:tcPr>
            <w:tcW w:w="245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38ED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优先选择符合以下需求的供应商：</w:t>
            </w:r>
          </w:p>
          <w:p w14:paraId="7FFA0AEF">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Chars="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供应商或为其提供互联带宽接入服务的原服务商需支持IPv4/IPV6双栈；</w:t>
            </w:r>
          </w:p>
          <w:p w14:paraId="7AA37647">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Chars="0"/>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供应商或为其提供互联带宽接入服务的原服务商IP骨干网网络设备可用率≥99.9%;</w:t>
            </w:r>
          </w:p>
          <w:p w14:paraId="3CF26E69">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Chars="0"/>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供应商或为其提供互联带宽接入服务的原服务商局端网络设备到采购人网络设备端口平均时延≤10ms；</w:t>
            </w:r>
          </w:p>
          <w:p w14:paraId="2D1B1F35">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Chars="0"/>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供应商提供的互联带宽从采购人网络设备端口到网络提供供应商的局端网络设备端口平均丢包率≤1%。</w:t>
            </w:r>
          </w:p>
          <w:p w14:paraId="2D35D711">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Chars="0"/>
              <w:textAlignment w:val="auto"/>
              <w:rPr>
                <w:rFonts w:hint="default" w:ascii="仿宋" w:hAnsi="仿宋" w:eastAsia="仿宋" w:cs="仿宋"/>
                <w:b w:val="0"/>
                <w:bCs w:val="0"/>
                <w:color w:val="auto"/>
                <w:sz w:val="24"/>
                <w:szCs w:val="24"/>
                <w:highlight w:val="none"/>
                <w:lang w:val="en-US" w:eastAsia="zh-CN"/>
              </w:rPr>
            </w:pPr>
            <w:r>
              <w:rPr>
                <w:rFonts w:hint="default" w:ascii="仿宋" w:hAnsi="仿宋" w:eastAsia="仿宋" w:cs="仿宋"/>
                <w:b w:val="0"/>
                <w:bCs w:val="0"/>
                <w:color w:val="auto"/>
                <w:sz w:val="24"/>
                <w:szCs w:val="24"/>
                <w:highlight w:val="none"/>
                <w:lang w:val="en-US" w:eastAsia="zh-CN"/>
              </w:rPr>
              <w:t>供应商根据带宽接入的实际使用情况提供从数据机房到采购人主机房万兆10GE端口连接。</w:t>
            </w:r>
          </w:p>
          <w:p w14:paraId="52C08B5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cs="宋体"/>
                <w:color w:val="auto"/>
                <w:szCs w:val="21"/>
                <w:highlight w:val="none"/>
                <w:lang w:eastAsia="zh-CN"/>
              </w:rPr>
            </w:pPr>
            <w:r>
              <w:rPr>
                <w:rFonts w:hint="eastAsia" w:ascii="仿宋" w:hAnsi="仿宋" w:eastAsia="仿宋" w:cs="仿宋"/>
                <w:b w:val="0"/>
                <w:bCs w:val="0"/>
                <w:color w:val="auto"/>
                <w:sz w:val="24"/>
                <w:szCs w:val="24"/>
                <w:highlight w:val="none"/>
                <w:lang w:val="en-US" w:eastAsia="zh-CN"/>
              </w:rPr>
              <w:t>6、供应商或为其提供IP地址的原服务商在中国大陆拥有的IPV4地址总数</w:t>
            </w:r>
            <w:r>
              <w:rPr>
                <w:rFonts w:hint="eastAsia" w:ascii="宋体" w:hAnsi="宋体" w:cs="宋体"/>
                <w:color w:val="auto"/>
                <w:szCs w:val="21"/>
                <w:highlight w:val="none"/>
              </w:rPr>
              <w:t>＞10000万个</w:t>
            </w:r>
            <w:r>
              <w:rPr>
                <w:rFonts w:hint="eastAsia" w:ascii="宋体" w:hAnsi="宋体" w:cs="宋体"/>
                <w:color w:val="auto"/>
                <w:szCs w:val="21"/>
                <w:highlight w:val="none"/>
                <w:lang w:eastAsia="zh-CN"/>
              </w:rPr>
              <w:t>（供应商拥有的IP地址以中国互联网信息中心CNNIC最新发布的统计报告为准）；</w:t>
            </w:r>
          </w:p>
          <w:p w14:paraId="28432A5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cs="宋体"/>
                <w:color w:val="auto"/>
                <w:szCs w:val="21"/>
                <w:highlight w:val="none"/>
                <w:lang w:eastAsia="zh-CN"/>
              </w:rPr>
            </w:pPr>
            <w:r>
              <w:rPr>
                <w:rFonts w:hint="eastAsia" w:ascii="仿宋" w:hAnsi="仿宋" w:eastAsia="仿宋" w:cs="仿宋"/>
                <w:b w:val="0"/>
                <w:bCs w:val="0"/>
                <w:color w:val="auto"/>
                <w:sz w:val="24"/>
                <w:szCs w:val="24"/>
                <w:highlight w:val="none"/>
                <w:lang w:val="en-US" w:eastAsia="zh-CN"/>
              </w:rPr>
              <w:t>7、供应商或为其提供IP地址的原服务商在中国大陆拥有的IPV6地址总数</w:t>
            </w:r>
            <w:r>
              <w:rPr>
                <w:rFonts w:hint="eastAsia" w:ascii="宋体" w:hAnsi="宋体" w:cs="宋体"/>
                <w:color w:val="auto"/>
                <w:szCs w:val="21"/>
                <w:highlight w:val="none"/>
              </w:rPr>
              <w:t>＞</w:t>
            </w:r>
            <w:r>
              <w:rPr>
                <w:rFonts w:hint="eastAsia" w:ascii="宋体" w:hAnsi="宋体" w:cs="宋体"/>
                <w:color w:val="auto"/>
                <w:kern w:val="0"/>
                <w:szCs w:val="21"/>
                <w:highlight w:val="none"/>
              </w:rPr>
              <w:t>10000块/32（含）</w:t>
            </w:r>
            <w:r>
              <w:rPr>
                <w:rFonts w:hint="eastAsia" w:ascii="宋体" w:hAnsi="宋体" w:cs="宋体"/>
                <w:color w:val="auto"/>
                <w:szCs w:val="21"/>
                <w:highlight w:val="none"/>
                <w:lang w:eastAsia="zh-CN"/>
              </w:rPr>
              <w:t>（供应商拥有的IP地址以中国互联网信息中心CNNIC最新发布的统计报告为准）</w:t>
            </w:r>
            <w:r>
              <w:rPr>
                <w:rFonts w:hint="eastAsia" w:ascii="宋体" w:hAnsi="宋体" w:cs="宋体"/>
                <w:color w:val="auto"/>
                <w:kern w:val="0"/>
                <w:szCs w:val="21"/>
                <w:highlight w:val="none"/>
                <w:lang w:eastAsia="zh-CN"/>
              </w:rPr>
              <w:t>；</w:t>
            </w:r>
          </w:p>
          <w:p w14:paraId="52A440F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cs="宋体"/>
                <w:color w:val="auto"/>
                <w:szCs w:val="21"/>
                <w:lang w:val="en-US" w:eastAsia="zh-CN"/>
              </w:rPr>
            </w:pPr>
            <w:r>
              <w:rPr>
                <w:rFonts w:hint="eastAsia" w:ascii="宋体" w:hAnsi="宋体" w:cs="宋体"/>
                <w:color w:val="auto"/>
                <w:szCs w:val="21"/>
                <w:highlight w:val="none"/>
                <w:lang w:val="en-US" w:eastAsia="zh-CN"/>
              </w:rPr>
              <w:t>8、供应商或供应商所用运营商在广东10G PON端口数量</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100万个（供应商提供的10G PON以广东省宽带普及提速工程领导小组办公室关于广东省宽带网络建设发展情况的最新通报为准）；</w:t>
            </w:r>
          </w:p>
        </w:tc>
      </w:tr>
    </w:tbl>
    <w:p w14:paraId="7FBEB62F">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659BA804">
      <w:pPr>
        <w:numPr>
          <w:ilvl w:val="-1"/>
          <w:numId w:val="0"/>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按半年进行付款,合同签订在收到供应商开具的完税发票后10个工作日内支付首半年费用，后续每年的5月、11月支付半年的合计费用，采购人在收到供应商开具的完税发票后(供应商应在支付月的前三个工作日开具发票并给到采购人)，于10个工作日内一次性支付半年的租赁费用，直至服务结束为止。</w:t>
      </w:r>
    </w:p>
    <w:p w14:paraId="295913E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售后服务</w:t>
      </w:r>
    </w:p>
    <w:p w14:paraId="3B348397">
      <w:pPr>
        <w:pStyle w:val="11"/>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售后服务要求</w:t>
      </w:r>
    </w:p>
    <w:p w14:paraId="184BFEB4">
      <w:pPr>
        <w:pStyle w:val="11"/>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要求供应商在响应文件中提供详细具体的售后服务承诺条款。</w:t>
      </w:r>
    </w:p>
    <w:p w14:paraId="363ACA46">
      <w:pPr>
        <w:pStyle w:val="11"/>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供应商须提供7×24小时服务，对于软件在使用过程中出现的问题，在4小时内响应。如遇与所供设备有关的问题无法远程解决的，在事件确定后12小时内赶到现场提供免费服务，24小时内未解决的成交供应商应提供详细的应急解决方案。因成交供应商工作延误，造成采购人损失的，成交供应商应负赔偿责任。</w:t>
      </w:r>
    </w:p>
    <w:p w14:paraId="10189517">
      <w:pPr>
        <w:pStyle w:val="11"/>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要求供应商必须拥有专业的售后维护服务团队，能够保证本项目所采购服务的正常运行。</w:t>
      </w:r>
    </w:p>
    <w:p w14:paraId="67E999E2">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24AACFA5">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670C56C6">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342595F8">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747A9FED">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14:paraId="71CE9A49">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07D81BA4">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B5B5651">
      <w:pPr>
        <w:pStyle w:val="3"/>
        <w:pageBreakBefore w:val="0"/>
        <w:widowControl w:val="0"/>
        <w:numPr>
          <w:ilvl w:val="0"/>
          <w:numId w:val="7"/>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14:paraId="15A7645F">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09584610">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提交广东省政府采购智慧云平台电子卖场-集采馆-定点集市-互联网接入服务资质，截图纸质加盖公章。</w:t>
      </w:r>
    </w:p>
    <w:p w14:paraId="7555127D">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32CFA6FF">
      <w:pPr>
        <w:rPr>
          <w:rFonts w:hint="eastAsia" w:ascii="宋体" w:hAnsi="宋体" w:cs="宋体"/>
          <w:b/>
          <w:sz w:val="24"/>
          <w:szCs w:val="24"/>
        </w:rPr>
      </w:pPr>
      <w:r>
        <w:rPr>
          <w:rFonts w:hint="eastAsia" w:ascii="宋体" w:hAnsi="宋体" w:cs="宋体"/>
          <w:b/>
          <w:sz w:val="24"/>
          <w:szCs w:val="24"/>
        </w:rPr>
        <w:br w:type="page"/>
      </w:r>
    </w:p>
    <w:p w14:paraId="03C5C87B">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335FE3A6">
      <w:pPr>
        <w:tabs>
          <w:tab w:val="left" w:pos="8100"/>
        </w:tabs>
        <w:adjustRightInd w:val="0"/>
        <w:snapToGrid w:val="0"/>
        <w:spacing w:line="348" w:lineRule="auto"/>
        <w:rPr>
          <w:rFonts w:hint="eastAsia" w:ascii="宋体" w:hAnsi="宋体" w:cs="宋体"/>
          <w:b/>
          <w:sz w:val="24"/>
          <w:szCs w:val="24"/>
          <w:lang w:val="en-US" w:eastAsia="zh-CN"/>
        </w:rPr>
      </w:pPr>
    </w:p>
    <w:p w14:paraId="197E8DEA">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7606D645">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4BBFF46C">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43B3DA02">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0743EB6F">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广东生态工程职业学院第二期互联带宽接入服务采购项目</w:t>
            </w:r>
          </w:p>
        </w:tc>
      </w:tr>
      <w:tr w14:paraId="6386B2FD">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5C9351DF">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1B2402C0">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3BC91CB7">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463800E8">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6A94C542">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4E9BDADE">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1CA414DA">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2DB18030">
            <w:pPr>
              <w:autoSpaceDE w:val="0"/>
              <w:autoSpaceDN w:val="0"/>
              <w:adjustRightInd w:val="0"/>
              <w:spacing w:line="480" w:lineRule="exact"/>
              <w:jc w:val="center"/>
              <w:rPr>
                <w:rFonts w:ascii="宋体" w:hAnsi="宋体"/>
                <w:sz w:val="24"/>
              </w:rPr>
            </w:pPr>
          </w:p>
        </w:tc>
      </w:tr>
    </w:tbl>
    <w:p w14:paraId="18ECB696">
      <w:pPr>
        <w:pStyle w:val="6"/>
        <w:spacing w:line="480" w:lineRule="exact"/>
        <w:ind w:firstLine="100" w:firstLineChars="50"/>
        <w:rPr>
          <w:rFonts w:hAnsi="宋体"/>
        </w:rPr>
      </w:pPr>
      <w:r>
        <w:rPr>
          <w:rFonts w:hint="eastAsia" w:hAnsi="宋体"/>
        </w:rPr>
        <w:t>注：</w:t>
      </w:r>
    </w:p>
    <w:p w14:paraId="38A77571">
      <w:pPr>
        <w:pStyle w:val="6"/>
        <w:numPr>
          <w:ilvl w:val="0"/>
          <w:numId w:val="8"/>
        </w:numPr>
        <w:spacing w:line="0" w:lineRule="atLeast"/>
        <w:rPr>
          <w:rFonts w:hAnsi="宋体"/>
        </w:rPr>
      </w:pPr>
      <w:r>
        <w:rPr>
          <w:rFonts w:hint="eastAsia" w:hAnsi="宋体"/>
        </w:rPr>
        <w:t>本表报价包含完成本项目应预见和不可预见的一切含税费用。</w:t>
      </w:r>
    </w:p>
    <w:p w14:paraId="754D537D">
      <w:pPr>
        <w:pStyle w:val="6"/>
        <w:numPr>
          <w:ilvl w:val="0"/>
          <w:numId w:val="8"/>
        </w:numPr>
        <w:spacing w:line="0" w:lineRule="atLeast"/>
        <w:rPr>
          <w:rFonts w:hAnsi="宋体"/>
        </w:rPr>
      </w:pPr>
      <w:r>
        <w:rPr>
          <w:rFonts w:hint="eastAsia"/>
        </w:rPr>
        <w:t>填写此表时不得改变表格的形式。</w:t>
      </w:r>
    </w:p>
    <w:p w14:paraId="27633ACE">
      <w:pPr>
        <w:pStyle w:val="6"/>
        <w:numPr>
          <w:ilvl w:val="0"/>
          <w:numId w:val="8"/>
        </w:numPr>
        <w:spacing w:line="0" w:lineRule="atLeast"/>
        <w:rPr>
          <w:rFonts w:hAnsi="宋体"/>
        </w:rPr>
      </w:pPr>
      <w:r>
        <w:rPr>
          <w:rFonts w:hint="eastAsia"/>
        </w:rPr>
        <w:t>以上表中内容必须计算机录入、填写、打印。手写按无效报价处理。</w:t>
      </w:r>
    </w:p>
    <w:p w14:paraId="6845A14B">
      <w:pPr>
        <w:pStyle w:val="6"/>
        <w:numPr>
          <w:ilvl w:val="0"/>
          <w:numId w:val="8"/>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14:paraId="136E4B3F">
      <w:pPr>
        <w:pStyle w:val="6"/>
        <w:spacing w:line="0" w:lineRule="atLeast"/>
        <w:ind w:left="336"/>
        <w:rPr>
          <w:rFonts w:hAnsi="宋体"/>
          <w:color w:val="FF0000"/>
        </w:rPr>
      </w:pPr>
    </w:p>
    <w:p w14:paraId="59293910"/>
    <w:p w14:paraId="2D90E274"/>
    <w:p w14:paraId="78DF10E5">
      <w:pPr>
        <w:spacing w:line="480" w:lineRule="exact"/>
        <w:ind w:left="4599" w:leftChars="2190" w:firstLine="240" w:firstLineChars="100"/>
        <w:rPr>
          <w:rFonts w:ascii="宋体" w:hAnsi="宋体" w:cs="宋体"/>
          <w:sz w:val="24"/>
          <w:szCs w:val="24"/>
        </w:rPr>
      </w:pPr>
    </w:p>
    <w:p w14:paraId="0C40E7E3">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5097015D">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0B6EE2AF">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9B30E3F">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7AE89E9B">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19DAF498">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7A53B3E6">
      <w:pPr>
        <w:rPr>
          <w:rFonts w:ascii="宋体" w:hAnsi="宋体" w:cs="宋体"/>
          <w:sz w:val="24"/>
          <w:szCs w:val="24"/>
        </w:rPr>
      </w:pPr>
    </w:p>
    <w:p w14:paraId="616B9218">
      <w:pPr>
        <w:rPr>
          <w:rFonts w:ascii="宋体" w:hAnsi="宋体" w:cs="宋体"/>
          <w:sz w:val="24"/>
          <w:szCs w:val="24"/>
        </w:rPr>
      </w:pPr>
    </w:p>
    <w:p w14:paraId="29BC9648">
      <w:pPr>
        <w:pStyle w:val="9"/>
      </w:pPr>
    </w:p>
    <w:p w14:paraId="7FAFD478">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48630F43">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14:paraId="3C178846">
      <w:pPr>
        <w:spacing w:line="560" w:lineRule="exact"/>
        <w:jc w:val="center"/>
        <w:rPr>
          <w:rFonts w:ascii="宋体" w:hAnsi="宋体"/>
          <w:b/>
          <w:sz w:val="28"/>
          <w:szCs w:val="28"/>
        </w:rPr>
      </w:pPr>
      <w:r>
        <w:rPr>
          <w:rFonts w:hint="eastAsia" w:ascii="宋体" w:hAnsi="宋体"/>
          <w:b/>
          <w:sz w:val="28"/>
          <w:szCs w:val="28"/>
        </w:rPr>
        <w:t xml:space="preserve">报价明细表    </w:t>
      </w:r>
    </w:p>
    <w:p w14:paraId="51631FD7">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5241" w:type="pct"/>
        <w:jc w:val="center"/>
        <w:tblLayout w:type="autofit"/>
        <w:tblCellMar>
          <w:top w:w="0" w:type="dxa"/>
          <w:left w:w="0" w:type="dxa"/>
          <w:bottom w:w="0" w:type="dxa"/>
          <w:right w:w="0" w:type="dxa"/>
        </w:tblCellMar>
      </w:tblPr>
      <w:tblGrid>
        <w:gridCol w:w="1355"/>
        <w:gridCol w:w="5149"/>
        <w:gridCol w:w="2213"/>
      </w:tblGrid>
      <w:tr w14:paraId="4B9E35D5">
        <w:tblPrEx>
          <w:tblCellMar>
            <w:top w:w="0" w:type="dxa"/>
            <w:left w:w="0" w:type="dxa"/>
            <w:bottom w:w="0" w:type="dxa"/>
            <w:right w:w="0" w:type="dxa"/>
          </w:tblCellMar>
        </w:tblPrEx>
        <w:trPr>
          <w:trHeight w:val="527"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A3F30">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51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99BFE">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26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70B31">
            <w:pPr>
              <w:widowControl/>
              <w:jc w:val="center"/>
              <w:textAlignment w:val="center"/>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预算费用</w:t>
            </w:r>
          </w:p>
        </w:tc>
      </w:tr>
      <w:tr w14:paraId="5A60ABC5">
        <w:tblPrEx>
          <w:tblCellMar>
            <w:top w:w="0" w:type="dxa"/>
            <w:left w:w="0" w:type="dxa"/>
            <w:bottom w:w="0" w:type="dxa"/>
            <w:right w:w="0" w:type="dxa"/>
          </w:tblCellMar>
        </w:tblPrEx>
        <w:trPr>
          <w:trHeight w:val="530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7F96E">
            <w:pPr>
              <w:widowControl/>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互联带宽接入服务</w:t>
            </w:r>
          </w:p>
        </w:tc>
        <w:tc>
          <w:tcPr>
            <w:tcW w:w="51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9385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政策属性：环保</w:t>
            </w:r>
          </w:p>
          <w:p w14:paraId="59F44F0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上行带宽（bps)：1000M</w:t>
            </w:r>
          </w:p>
          <w:p w14:paraId="15C58D3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接入点：骨干</w:t>
            </w:r>
          </w:p>
          <w:p w14:paraId="340D2C4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下行带宽（bps）：2000M</w:t>
            </w:r>
          </w:p>
          <w:p w14:paraId="1551F9E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服务年限：2年</w:t>
            </w:r>
          </w:p>
          <w:p w14:paraId="61BE2CD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服务月数：0</w:t>
            </w:r>
          </w:p>
          <w:p w14:paraId="5AD5CB3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最低公网固定IP（IPv4）地址数量（个）：16</w:t>
            </w:r>
          </w:p>
          <w:p w14:paraId="265A5AF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接入城市：广州</w:t>
            </w:r>
          </w:p>
          <w:p w14:paraId="29DEA2C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接口类型：EPON</w:t>
            </w:r>
          </w:p>
          <w:p w14:paraId="759705C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价格：</w:t>
            </w: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u w:val="single"/>
                <w:lang w:val="en-US" w:eastAsia="zh-CN" w:bidi="ar"/>
              </w:rPr>
              <w:t xml:space="preserve">      </w:t>
            </w:r>
            <w:r>
              <w:rPr>
                <w:rFonts w:hint="eastAsia" w:ascii="仿宋" w:hAnsi="仿宋" w:eastAsia="仿宋" w:cs="仿宋"/>
                <w:b w:val="0"/>
                <w:bCs w:val="0"/>
                <w:sz w:val="24"/>
                <w:szCs w:val="24"/>
                <w:lang w:val="en-US" w:eastAsia="zh-CN"/>
              </w:rPr>
              <w:t>元/年</w:t>
            </w:r>
          </w:p>
          <w:p w14:paraId="4EF6ECB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数量：2</w:t>
            </w:r>
          </w:p>
          <w:p w14:paraId="1E17C51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80" w:leftChars="0" w:hanging="480" w:hanging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使用动态调整策略：寒暑假90天调整为下行不少</w:t>
            </w:r>
          </w:p>
          <w:p w14:paraId="20E46E1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80" w:leftChars="0" w:hanging="480" w:hanging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于1000M，上行不少于100M；非寒暑假白天下行</w:t>
            </w:r>
          </w:p>
          <w:p w14:paraId="137502C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80" w:leftChars="0" w:hanging="480" w:hangingChars="200"/>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不少于2000M，晚上不少于1200M</w:t>
            </w:r>
          </w:p>
        </w:tc>
        <w:tc>
          <w:tcPr>
            <w:tcW w:w="126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9BEB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u w:val="single"/>
                <w:lang w:val="en-US" w:eastAsia="zh-CN" w:bidi="ar"/>
              </w:rPr>
              <w:t xml:space="preserve">      </w:t>
            </w: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lang w:bidi="ar"/>
              </w:rPr>
              <w:t>元</w:t>
            </w:r>
            <w:r>
              <w:rPr>
                <w:rFonts w:hint="eastAsia" w:ascii="仿宋" w:hAnsi="仿宋" w:eastAsia="仿宋" w:cs="仿宋"/>
                <w:kern w:val="0"/>
                <w:sz w:val="24"/>
                <w:szCs w:val="24"/>
                <w:lang w:val="en-US" w:eastAsia="zh-CN" w:bidi="ar"/>
              </w:rPr>
              <w:t>/年</w:t>
            </w:r>
          </w:p>
        </w:tc>
      </w:tr>
      <w:tr w14:paraId="053256FE">
        <w:tblPrEx>
          <w:tblCellMar>
            <w:top w:w="0" w:type="dxa"/>
            <w:left w:w="0" w:type="dxa"/>
            <w:bottom w:w="0" w:type="dxa"/>
            <w:right w:w="0" w:type="dxa"/>
          </w:tblCellMar>
        </w:tblPrEx>
        <w:trPr>
          <w:trHeight w:val="542" w:hRule="atLeast"/>
          <w:jc w:val="center"/>
        </w:trPr>
        <w:tc>
          <w:tcPr>
            <w:tcW w:w="373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856F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jc w:val="center"/>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合计（元）</w:t>
            </w:r>
          </w:p>
        </w:tc>
        <w:tc>
          <w:tcPr>
            <w:tcW w:w="126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594E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b/>
                <w:bCs/>
                <w:sz w:val="24"/>
                <w:szCs w:val="24"/>
                <w:lang w:val="en-US" w:eastAsia="zh-CN"/>
              </w:rPr>
            </w:pPr>
          </w:p>
        </w:tc>
      </w:tr>
    </w:tbl>
    <w:p w14:paraId="029DFBAB">
      <w:pPr>
        <w:snapToGrid w:val="0"/>
        <w:spacing w:line="460" w:lineRule="exac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5414615E">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3D9E3C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FBC71C5">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190BCBC3">
      <w:pPr>
        <w:snapToGrid w:val="0"/>
        <w:spacing w:line="460" w:lineRule="exact"/>
        <w:ind w:firstLine="411" w:firstLineChars="196"/>
        <w:rPr>
          <w:rFonts w:hAnsi="宋体"/>
          <w:szCs w:val="21"/>
        </w:rPr>
      </w:pPr>
    </w:p>
    <w:p w14:paraId="21101F33">
      <w:pPr>
        <w:snapToGrid w:val="0"/>
        <w:spacing w:line="460" w:lineRule="exact"/>
        <w:ind w:firstLine="411" w:firstLineChars="196"/>
        <w:rPr>
          <w:rFonts w:hAnsi="宋体"/>
          <w:szCs w:val="21"/>
        </w:rPr>
      </w:pPr>
    </w:p>
    <w:p w14:paraId="3569BE95">
      <w:pPr>
        <w:rPr>
          <w:rFonts w:hint="eastAsia" w:ascii="宋体" w:hAnsi="宋体" w:cs="宋体"/>
          <w:b/>
          <w:sz w:val="24"/>
        </w:rPr>
      </w:pPr>
      <w:r>
        <w:rPr>
          <w:rFonts w:hint="eastAsia"/>
          <w:b/>
          <w:sz w:val="24"/>
        </w:rPr>
        <w:t>（注：本报价表为必要文件，必须加盖报价供应商公章，否则作无效报价处理）</w:t>
      </w:r>
    </w:p>
    <w:p w14:paraId="1B04454B">
      <w:pPr>
        <w:rPr>
          <w:rFonts w:hint="eastAsia" w:ascii="宋体" w:hAnsi="宋体" w:cs="宋体"/>
          <w:b/>
          <w:sz w:val="24"/>
        </w:rPr>
      </w:pPr>
      <w:r>
        <w:rPr>
          <w:rFonts w:hint="eastAsia" w:ascii="宋体" w:hAnsi="宋体" w:cs="宋体"/>
          <w:b/>
          <w:sz w:val="24"/>
        </w:rPr>
        <w:br w:type="page"/>
      </w:r>
    </w:p>
    <w:p w14:paraId="5EDC3290">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1F7C878B">
      <w:pPr>
        <w:pStyle w:val="3"/>
        <w:spacing w:before="0" w:after="0" w:line="400" w:lineRule="exact"/>
        <w:rPr>
          <w:rFonts w:ascii="宋体" w:hAnsi="宋体" w:cs="宋体"/>
          <w:szCs w:val="28"/>
        </w:rPr>
      </w:pPr>
    </w:p>
    <w:p w14:paraId="7126DB4D">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216878FD">
      <w:pPr>
        <w:pStyle w:val="19"/>
        <w:widowControl w:val="0"/>
        <w:spacing w:line="480" w:lineRule="auto"/>
        <w:ind w:firstLine="0" w:firstLineChars="0"/>
        <w:jc w:val="left"/>
        <w:textAlignment w:val="auto"/>
        <w:rPr>
          <w:rFonts w:ascii="仿宋" w:hAnsi="仿宋" w:eastAsia="仿宋" w:cs="仿宋"/>
          <w:sz w:val="24"/>
          <w:szCs w:val="24"/>
        </w:rPr>
      </w:pPr>
    </w:p>
    <w:p w14:paraId="610098A2">
      <w:pPr>
        <w:pStyle w:val="19"/>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14:paraId="41579CE5">
      <w:pPr>
        <w:pStyle w:val="19"/>
        <w:ind w:firstLine="480"/>
        <w:jc w:val="left"/>
        <w:rPr>
          <w:rFonts w:ascii="宋体" w:hAnsi="宋体" w:cs="宋体"/>
          <w:sz w:val="24"/>
          <w:szCs w:val="24"/>
        </w:rPr>
      </w:pPr>
    </w:p>
    <w:p w14:paraId="7807465A">
      <w:pPr>
        <w:tabs>
          <w:tab w:val="left" w:pos="676"/>
          <w:tab w:val="left" w:pos="2330"/>
          <w:tab w:val="left" w:pos="9230"/>
        </w:tabs>
        <w:autoSpaceDE w:val="0"/>
        <w:autoSpaceDN w:val="0"/>
        <w:adjustRightInd w:val="0"/>
        <w:rPr>
          <w:rFonts w:ascii="宋体" w:hAnsi="宋体" w:cs="宋体"/>
          <w:sz w:val="24"/>
          <w:szCs w:val="24"/>
        </w:rPr>
      </w:pPr>
    </w:p>
    <w:p w14:paraId="71D8195E">
      <w:pPr>
        <w:tabs>
          <w:tab w:val="left" w:pos="676"/>
          <w:tab w:val="left" w:pos="2330"/>
          <w:tab w:val="left" w:pos="9230"/>
        </w:tabs>
        <w:autoSpaceDE w:val="0"/>
        <w:autoSpaceDN w:val="0"/>
        <w:adjustRightInd w:val="0"/>
        <w:rPr>
          <w:rFonts w:ascii="宋体" w:hAnsi="宋体" w:cs="宋体"/>
          <w:sz w:val="24"/>
          <w:szCs w:val="24"/>
        </w:rPr>
      </w:pPr>
    </w:p>
    <w:p w14:paraId="3D3D920F">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0570AB8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03E40CD5">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54616E6E">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60FA7FAD">
      <w:pPr>
        <w:rPr>
          <w:rFonts w:cs="Tahoma"/>
          <w:b/>
          <w:sz w:val="24"/>
        </w:rPr>
      </w:pPr>
    </w:p>
    <w:p w14:paraId="2223C685">
      <w:pPr>
        <w:rPr>
          <w:rFonts w:cs="Tahoma"/>
          <w:b/>
          <w:sz w:val="24"/>
        </w:rPr>
      </w:pPr>
    </w:p>
    <w:p w14:paraId="0CABAFBE">
      <w:pPr>
        <w:rPr>
          <w:rFonts w:cs="Tahoma"/>
          <w:b/>
          <w:sz w:val="24"/>
        </w:rPr>
      </w:pPr>
    </w:p>
    <w:p w14:paraId="217C0948">
      <w:pPr>
        <w:rPr>
          <w:rFonts w:cs="Tahoma"/>
          <w:b/>
          <w:sz w:val="24"/>
        </w:rPr>
      </w:pPr>
    </w:p>
    <w:p w14:paraId="0C0BA3FE">
      <w:pPr>
        <w:rPr>
          <w:rFonts w:cs="Tahoma"/>
          <w:b/>
          <w:sz w:val="24"/>
        </w:rPr>
      </w:pPr>
    </w:p>
    <w:p w14:paraId="5C9CA6AC">
      <w:pPr>
        <w:rPr>
          <w:rFonts w:cs="Tahoma"/>
          <w:b/>
          <w:sz w:val="24"/>
        </w:rPr>
      </w:pPr>
    </w:p>
    <w:p w14:paraId="487D77FD">
      <w:pPr>
        <w:rPr>
          <w:rFonts w:cs="Tahoma"/>
          <w:b/>
          <w:sz w:val="24"/>
        </w:rPr>
      </w:pPr>
    </w:p>
    <w:p w14:paraId="149F21B0">
      <w:pPr>
        <w:rPr>
          <w:rFonts w:cs="Tahoma"/>
          <w:b/>
          <w:sz w:val="24"/>
        </w:rPr>
      </w:pPr>
    </w:p>
    <w:p w14:paraId="7C65F9F3">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6212D"/>
    <w:multiLevelType w:val="singleLevel"/>
    <w:tmpl w:val="9C86212D"/>
    <w:lvl w:ilvl="0" w:tentative="0">
      <w:start w:val="1"/>
      <w:numFmt w:val="decimal"/>
      <w:suff w:val="nothing"/>
      <w:lvlText w:val="%1．"/>
      <w:lvlJc w:val="left"/>
      <w:pPr>
        <w:ind w:left="0" w:firstLine="0"/>
      </w:pPr>
      <w:rPr>
        <w:rFonts w:hint="default"/>
      </w:rPr>
    </w:lvl>
  </w:abstractNum>
  <w:abstractNum w:abstractNumId="1">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8665B07"/>
    <w:multiLevelType w:val="singleLevel"/>
    <w:tmpl w:val="D8665B07"/>
    <w:lvl w:ilvl="0" w:tentative="0">
      <w:start w:val="1"/>
      <w:numFmt w:val="decimal"/>
      <w:suff w:val="nothing"/>
      <w:lvlText w:val="(%1)"/>
      <w:lvlJc w:val="left"/>
      <w:pPr>
        <w:tabs>
          <w:tab w:val="left" w:pos="0"/>
        </w:tabs>
        <w:ind w:left="0" w:leftChars="0" w:firstLine="0" w:firstLineChars="0"/>
      </w:pPr>
      <w:rPr>
        <w:rFonts w:hint="default"/>
      </w:rPr>
    </w:lvl>
  </w:abstractNum>
  <w:abstractNum w:abstractNumId="4">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7">
    <w:nsid w:val="45F081C5"/>
    <w:multiLevelType w:val="singleLevel"/>
    <w:tmpl w:val="45F081C5"/>
    <w:lvl w:ilvl="0" w:tentative="0">
      <w:start w:val="1"/>
      <w:numFmt w:val="decimal"/>
      <w:suff w:val="nothing"/>
      <w:lvlText w:val="%1、"/>
      <w:lvlJc w:val="left"/>
    </w:lvl>
  </w:abstractNum>
  <w:num w:numId="1">
    <w:abstractNumId w:val="4"/>
  </w:num>
  <w:num w:numId="2">
    <w:abstractNumId w:val="5"/>
  </w:num>
  <w:num w:numId="3">
    <w:abstractNumId w:val="2"/>
  </w:num>
  <w:num w:numId="4">
    <w:abstractNumId w:val="7"/>
  </w:num>
  <w:num w:numId="5">
    <w:abstractNumId w:val="0"/>
  </w:num>
  <w:num w:numId="6">
    <w:abstractNumId w:val="3"/>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MzU1MThmY2M2MzhjMzk2YWRmNGRmN2M3YzY0ODAifQ=="/>
    <w:docVar w:name="KSO_WPS_MARK_KEY" w:val="594a3c41-0b50-45b0-b9d6-e35ac00a2cc1"/>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06499F"/>
    <w:rsid w:val="0BDD0CD5"/>
    <w:rsid w:val="0F001001"/>
    <w:rsid w:val="0FA14F53"/>
    <w:rsid w:val="0FAC7731"/>
    <w:rsid w:val="10371C2B"/>
    <w:rsid w:val="10D601E5"/>
    <w:rsid w:val="120B2110"/>
    <w:rsid w:val="1269161B"/>
    <w:rsid w:val="131C20FB"/>
    <w:rsid w:val="13BE5D9F"/>
    <w:rsid w:val="14325D10"/>
    <w:rsid w:val="15ED073F"/>
    <w:rsid w:val="17A81ECF"/>
    <w:rsid w:val="17D47448"/>
    <w:rsid w:val="19F26CAA"/>
    <w:rsid w:val="1A444EEE"/>
    <w:rsid w:val="1B324BB2"/>
    <w:rsid w:val="1BA04D9F"/>
    <w:rsid w:val="1BEA3E24"/>
    <w:rsid w:val="1BF95ED5"/>
    <w:rsid w:val="1C87470B"/>
    <w:rsid w:val="1D440623"/>
    <w:rsid w:val="1DB42CA3"/>
    <w:rsid w:val="1E311151"/>
    <w:rsid w:val="1EBB37BF"/>
    <w:rsid w:val="1F507DBE"/>
    <w:rsid w:val="212177E3"/>
    <w:rsid w:val="22515F70"/>
    <w:rsid w:val="229D1137"/>
    <w:rsid w:val="24BB1A74"/>
    <w:rsid w:val="25203CCD"/>
    <w:rsid w:val="264A6E5E"/>
    <w:rsid w:val="27402C58"/>
    <w:rsid w:val="2A17416A"/>
    <w:rsid w:val="2C180514"/>
    <w:rsid w:val="2C81227D"/>
    <w:rsid w:val="2CD32928"/>
    <w:rsid w:val="2E1609D1"/>
    <w:rsid w:val="2EA65243"/>
    <w:rsid w:val="316974D6"/>
    <w:rsid w:val="31993A3E"/>
    <w:rsid w:val="31C52C12"/>
    <w:rsid w:val="36F05A63"/>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CBE7081"/>
    <w:rsid w:val="4D1A2C2C"/>
    <w:rsid w:val="4D976207"/>
    <w:rsid w:val="4DCE2074"/>
    <w:rsid w:val="4E3715BC"/>
    <w:rsid w:val="4EA67132"/>
    <w:rsid w:val="508D3CB3"/>
    <w:rsid w:val="50E34490"/>
    <w:rsid w:val="5116195C"/>
    <w:rsid w:val="534327B1"/>
    <w:rsid w:val="536A2CA6"/>
    <w:rsid w:val="53A64BAC"/>
    <w:rsid w:val="547E63CB"/>
    <w:rsid w:val="5648612C"/>
    <w:rsid w:val="56BD287A"/>
    <w:rsid w:val="5D2B6790"/>
    <w:rsid w:val="5D93012F"/>
    <w:rsid w:val="5E040FF7"/>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2A418D"/>
    <w:rsid w:val="72D1172F"/>
    <w:rsid w:val="7320696C"/>
    <w:rsid w:val="74844CAB"/>
    <w:rsid w:val="74F4798D"/>
    <w:rsid w:val="754937FF"/>
    <w:rsid w:val="75BC4A46"/>
    <w:rsid w:val="762878B8"/>
    <w:rsid w:val="76E77774"/>
    <w:rsid w:val="774EE9EE"/>
    <w:rsid w:val="775A4A01"/>
    <w:rsid w:val="77A91B01"/>
    <w:rsid w:val="781E4519"/>
    <w:rsid w:val="78496273"/>
    <w:rsid w:val="785D22DE"/>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line="460" w:lineRule="exact"/>
    </w:pPr>
    <w:rPr>
      <w:rFonts w:ascii="汉鼎简楷体" w:hAnsi="宋体" w:eastAsia="汉鼎简楷体"/>
      <w:b/>
      <w:bCs/>
      <w:spacing w:val="4"/>
      <w:sz w:val="24"/>
      <w:szCs w:val="20"/>
    </w:rPr>
  </w:style>
  <w:style w:type="paragraph" w:styleId="6">
    <w:name w:val="Plain Text"/>
    <w:basedOn w:val="1"/>
    <w:qFormat/>
    <w:uiPriority w:val="0"/>
    <w:pPr>
      <w:widowControl w:val="0"/>
      <w:spacing w:line="240" w:lineRule="auto"/>
      <w:textAlignment w:val="auto"/>
    </w:pPr>
    <w:rPr>
      <w:rFonts w:ascii="宋体" w:hAnsi="Courier New"/>
      <w:color w:val="auto"/>
      <w:sz w:val="20"/>
      <w:szCs w:val="24"/>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next w:val="7"/>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style>
  <w:style w:type="paragraph" w:styleId="10">
    <w:name w:val="Normal (Web)"/>
    <w:basedOn w:val="1"/>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5"/>
    <w:qFormat/>
    <w:uiPriority w:val="0"/>
    <w:pPr>
      <w:spacing w:after="120"/>
      <w:ind w:firstLine="420" w:firstLineChars="100"/>
    </w:pPr>
    <w:rPr>
      <w:rFonts w:ascii="Calibri" w:hAnsi="Calibri"/>
      <w:sz w:val="21"/>
      <w:szCs w:val="2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Default"/>
    <w:next w:val="8"/>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7">
    <w:name w:val="＃Ｄ级样式"/>
    <w:basedOn w:val="1"/>
    <w:next w:val="1"/>
    <w:qFormat/>
    <w:uiPriority w:val="0"/>
    <w:pPr>
      <w:autoSpaceDE w:val="0"/>
      <w:autoSpaceDN w:val="0"/>
      <w:adjustRightInd w:val="0"/>
      <w:spacing w:line="460" w:lineRule="exact"/>
      <w:ind w:firstLine="480" w:firstLineChars="200"/>
    </w:pPr>
    <w:rPr>
      <w:rFonts w:ascii="Arial" w:hAnsi="Arial"/>
      <w:bCs/>
      <w:sz w:val="24"/>
      <w:szCs w:val="24"/>
    </w:rPr>
  </w:style>
  <w:style w:type="paragraph" w:styleId="18">
    <w:name w:val="List Paragraph"/>
    <w:basedOn w:val="1"/>
    <w:unhideWhenUsed/>
    <w:qFormat/>
    <w:uiPriority w:val="34"/>
    <w:pPr>
      <w:ind w:firstLine="420" w:firstLineChars="200"/>
    </w:pPr>
  </w:style>
  <w:style w:type="paragraph" w:customStyle="1" w:styleId="19">
    <w:name w:val="_Style 3"/>
    <w:basedOn w:val="1"/>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2634</Words>
  <Characters>2800</Characters>
  <Lines>0</Lines>
  <Paragraphs>0</Paragraphs>
  <TotalTime>2</TotalTime>
  <ScaleCrop>false</ScaleCrop>
  <LinksUpToDate>false</LinksUpToDate>
  <CharactersWithSpaces>3075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刘宇兴</cp:lastModifiedBy>
  <dcterms:modified xsi:type="dcterms:W3CDTF">2025-06-03T01:42:21Z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200FA6FE66EC48A6A839FA549E602D7E_13</vt:lpwstr>
  </property>
  <property fmtid="{D5CDD505-2E9C-101B-9397-08002B2CF9AE}" pid="4" name="KSOTemplateDocerSaveRecord">
    <vt:lpwstr>eyJoZGlkIjoiMzg3Y2VhZmY1ZjNkZjdhZmFhNzgwNGEwOGI5Mjc3MjciLCJ1c2VySWQiOiIxNjgzNzA1NzAzIn0=</vt:lpwstr>
  </property>
</Properties>
</file>