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86CB5">
      <w:pPr>
        <w:jc w:val="center"/>
        <w:rPr>
          <w:rFonts w:asciiTheme="majorEastAsia" w:hAnsiTheme="majorEastAsia" w:eastAsiaTheme="majorEastAsia" w:cstheme="majorEastAsia"/>
          <w:b/>
          <w:sz w:val="36"/>
          <w:szCs w:val="36"/>
        </w:rPr>
      </w:pPr>
      <w:r>
        <w:rPr>
          <w:rFonts w:hint="eastAsia" w:ascii="宋体" w:hAnsi="宋体" w:eastAsia="宋体" w:cs="宋体"/>
          <w:b/>
          <w:sz w:val="36"/>
          <w:szCs w:val="36"/>
        </w:rPr>
        <w:t>广东生态工程职业学院林业工程学院智慧林业虚拟仿真实训室</w:t>
      </w:r>
      <w:r>
        <w:rPr>
          <w:rFonts w:hint="eastAsia" w:ascii="宋体" w:hAnsi="宋体" w:eastAsia="宋体" w:cs="宋体"/>
          <w:b/>
          <w:sz w:val="36"/>
          <w:szCs w:val="36"/>
          <w:lang w:val="en-US" w:eastAsia="zh-CN"/>
        </w:rPr>
        <w:t>设备采购项目</w:t>
      </w:r>
      <w:r>
        <w:rPr>
          <w:rFonts w:hint="eastAsia" w:asciiTheme="majorEastAsia" w:hAnsiTheme="majorEastAsia" w:eastAsiaTheme="majorEastAsia" w:cstheme="majorEastAsia"/>
          <w:b/>
          <w:sz w:val="36"/>
          <w:szCs w:val="36"/>
        </w:rPr>
        <w:t>需求书</w:t>
      </w:r>
    </w:p>
    <w:p w14:paraId="250E63FA">
      <w:pPr>
        <w:jc w:val="center"/>
        <w:rPr>
          <w:sz w:val="30"/>
          <w:szCs w:val="30"/>
        </w:rPr>
      </w:pPr>
    </w:p>
    <w:p w14:paraId="0800BD4C">
      <w:pPr>
        <w:pStyle w:val="15"/>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项目名称:广东生态工程职业学院林业工程学院智慧林业虚拟仿真实训室</w:t>
      </w:r>
      <w:r>
        <w:rPr>
          <w:rFonts w:hint="eastAsia" w:ascii="宋体" w:hAnsi="宋体" w:eastAsia="宋体" w:cs="宋体"/>
          <w:b/>
          <w:bCs w:val="0"/>
          <w:sz w:val="28"/>
          <w:szCs w:val="28"/>
          <w:lang w:val="en-US" w:eastAsia="zh-CN"/>
        </w:rPr>
        <w:t>设备采购项目</w:t>
      </w:r>
    </w:p>
    <w:p w14:paraId="24E8F264">
      <w:pPr>
        <w:pStyle w:val="15"/>
        <w:numPr>
          <w:ilvl w:val="0"/>
          <w:numId w:val="1"/>
        </w:numPr>
        <w:spacing w:line="360" w:lineRule="auto"/>
        <w:ind w:firstLine="562"/>
        <w:jc w:val="left"/>
      </w:pPr>
      <w:r>
        <w:rPr>
          <w:rFonts w:hint="eastAsia" w:ascii="宋体" w:hAnsi="宋体" w:eastAsia="宋体" w:cs="宋体"/>
          <w:b/>
          <w:bCs w:val="0"/>
          <w:sz w:val="28"/>
          <w:szCs w:val="28"/>
        </w:rPr>
        <w:t>项目预算：</w:t>
      </w:r>
      <w:r>
        <w:rPr>
          <w:rFonts w:hint="eastAsia" w:ascii="宋体" w:hAnsi="宋体" w:eastAsia="宋体" w:cs="宋体"/>
          <w:sz w:val="28"/>
          <w:szCs w:val="28"/>
          <w:lang w:val="en-US" w:eastAsia="zh-CN"/>
        </w:rPr>
        <w:t>690</w:t>
      </w:r>
      <w:r>
        <w:rPr>
          <w:rFonts w:hint="eastAsia" w:ascii="宋体" w:hAnsi="宋体" w:eastAsia="宋体" w:cs="宋体"/>
          <w:sz w:val="28"/>
          <w:szCs w:val="28"/>
        </w:rPr>
        <w:t>00.00元</w:t>
      </w:r>
    </w:p>
    <w:p w14:paraId="322B1079">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建设地址: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024C3E5B">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48CF407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1B13A4F7">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76D7D3CA">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6F8B6522">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5892CE79">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51ABFFA1">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573D7C03">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7923C5D6">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28F35E46">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43F94486">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482FE8AC">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14:textFill>
            <w14:solidFill>
              <w14:schemeClr w14:val="tx1"/>
            </w14:solidFill>
          </w14:textFill>
        </w:rPr>
        <w:t>报价供应商截止递交报价文件的时间为2025年</w:t>
      </w:r>
      <w:r>
        <w:rPr>
          <w:rFonts w:hint="eastAsia" w:asciiTheme="minorEastAsia" w:hAnsiTheme="minorEastAsia" w:cstheme="minorEastAsia"/>
          <w:color w:val="000000" w:themeColor="text1"/>
          <w:sz w:val="28"/>
          <w:szCs w:val="28"/>
          <w:lang w:val="en-US" w:eastAsia="zh-CN"/>
          <w14:textFill>
            <w14:solidFill>
              <w14:schemeClr w14:val="tx1"/>
            </w14:solidFill>
          </w14:textFill>
        </w:rPr>
        <w:t>8</w:t>
      </w:r>
      <w:r>
        <w:rPr>
          <w:rFonts w:hint="eastAsia" w:asciiTheme="minorEastAsia" w:hAnsiTheme="minorEastAsia" w:cstheme="minorEastAsia"/>
          <w:color w:val="000000" w:themeColor="text1"/>
          <w:sz w:val="28"/>
          <w:szCs w:val="28"/>
          <w14:textFill>
            <w14:solidFill>
              <w14:schemeClr w14:val="tx1"/>
            </w14:solidFill>
          </w14:textFill>
        </w:rPr>
        <w:t>月</w:t>
      </w:r>
      <w:r>
        <w:rPr>
          <w:rFonts w:hint="eastAsia" w:asciiTheme="minorEastAsia" w:hAnsiTheme="minorEastAsia" w:cstheme="minorEastAsia"/>
          <w:color w:val="000000" w:themeColor="text1"/>
          <w:sz w:val="28"/>
          <w:szCs w:val="28"/>
          <w:lang w:val="en-US" w:eastAsia="zh-CN"/>
          <w14:textFill>
            <w14:solidFill>
              <w14:schemeClr w14:val="tx1"/>
            </w14:solidFill>
          </w14:textFill>
        </w:rPr>
        <w:t>25</w:t>
      </w:r>
      <w:r>
        <w:rPr>
          <w:rFonts w:hint="eastAsia" w:asciiTheme="minorEastAsia" w:hAnsiTheme="minorEastAsia" w:cstheme="minorEastAsia"/>
          <w:color w:val="000000" w:themeColor="text1"/>
          <w:sz w:val="28"/>
          <w:szCs w:val="28"/>
          <w14:textFill>
            <w14:solidFill>
              <w14:schemeClr w14:val="tx1"/>
            </w14:solidFill>
          </w14:textFill>
        </w:rPr>
        <w:t>日下午</w:t>
      </w:r>
      <w:r>
        <w:rPr>
          <w:rFonts w:hint="eastAsia" w:asciiTheme="minorEastAsia" w:hAnsiTheme="minorEastAsia" w:cstheme="minorEastAsia"/>
          <w:color w:val="000000" w:themeColor="text1"/>
          <w:sz w:val="28"/>
          <w:szCs w:val="28"/>
          <w:lang w:val="en-US" w:eastAsia="zh-CN"/>
          <w14:textFill>
            <w14:solidFill>
              <w14:schemeClr w14:val="tx1"/>
            </w14:solidFill>
          </w14:textFill>
        </w:rPr>
        <w:t>3</w:t>
      </w:r>
      <w:r>
        <w:rPr>
          <w:rFonts w:hint="eastAsia" w:asciiTheme="minorEastAsia" w:hAnsiTheme="minorEastAsia" w:cstheme="minorEastAsia"/>
          <w:color w:val="000000" w:themeColor="text1"/>
          <w:sz w:val="28"/>
          <w:szCs w:val="28"/>
          <w14:textFill>
            <w14:solidFill>
              <w14:schemeClr w14:val="tx1"/>
            </w14:solidFill>
          </w14:textFill>
        </w:rPr>
        <w:t>点，报价文件必须密封，否则一律拒收。报价供应商可通过快递寄送（必须用顺丰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14:textFill>
            <w14:solidFill>
              <w14:schemeClr w14:val="tx1"/>
            </w14:solidFill>
          </w14:textFill>
        </w:rPr>
        <w:t>）或现场递交。</w:t>
      </w:r>
    </w:p>
    <w:p w14:paraId="5457DD28">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投标联系人：刘老师  联系方式：19867570340</w:t>
      </w:r>
    </w:p>
    <w:p w14:paraId="66D5F8ED">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投标地址：广州市天河区广汕一路297号广东生态工程职业学院办公楼203室，可快递寄送（必须用顺丰快递）或现场递交。</w:t>
      </w:r>
    </w:p>
    <w:p w14:paraId="4A31D519">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p w14:paraId="52C0518E">
      <w:pPr>
        <w:numPr>
          <w:ilvl w:val="0"/>
          <w:numId w:val="4"/>
        </w:numPr>
        <w:spacing w:line="360" w:lineRule="auto"/>
        <w:ind w:left="420" w:leftChars="200"/>
        <w:rPr>
          <w:rFonts w:hint="eastAsia" w:ascii="宋体" w:hAnsi="宋体" w:cs="宋体"/>
          <w:b/>
          <w:bCs/>
          <w:sz w:val="28"/>
          <w:szCs w:val="28"/>
        </w:rPr>
      </w:pPr>
      <w:r>
        <w:rPr>
          <w:rFonts w:hint="eastAsia" w:ascii="宋体" w:hAnsi="宋体" w:cs="宋体"/>
          <w:b/>
          <w:bCs/>
          <w:sz w:val="28"/>
          <w:szCs w:val="28"/>
        </w:rPr>
        <w:t>项目内容</w:t>
      </w:r>
    </w:p>
    <w:tbl>
      <w:tblPr>
        <w:tblStyle w:val="12"/>
        <w:tblW w:w="47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1079"/>
        <w:gridCol w:w="4818"/>
        <w:gridCol w:w="535"/>
        <w:gridCol w:w="421"/>
      </w:tblGrid>
      <w:tr w14:paraId="6A48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31E205FB">
            <w:pPr>
              <w:keepNext w:val="0"/>
              <w:keepLines w:val="0"/>
              <w:pageBreakBefore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设备名称</w:t>
            </w:r>
          </w:p>
        </w:tc>
        <w:tc>
          <w:tcPr>
            <w:tcW w:w="3618" w:type="pct"/>
            <w:gridSpan w:val="2"/>
            <w:tcBorders>
              <w:top w:val="single" w:color="auto" w:sz="4" w:space="0"/>
              <w:left w:val="single" w:color="auto" w:sz="4" w:space="0"/>
              <w:bottom w:val="single" w:color="auto" w:sz="4" w:space="0"/>
              <w:right w:val="single" w:color="auto" w:sz="4" w:space="0"/>
            </w:tcBorders>
            <w:vAlign w:val="center"/>
          </w:tcPr>
          <w:p w14:paraId="0B0FC8F3">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b/>
                <w:bCs/>
              </w:rPr>
            </w:pPr>
            <w:r>
              <w:rPr>
                <w:rFonts w:hint="eastAsia" w:asciiTheme="minorEastAsia" w:hAnsiTheme="minorEastAsia" w:eastAsiaTheme="minorEastAsia" w:cstheme="minorEastAsia"/>
                <w:b/>
                <w:bCs/>
              </w:rPr>
              <w:t>技术参数和规格</w:t>
            </w:r>
          </w:p>
        </w:tc>
        <w:tc>
          <w:tcPr>
            <w:tcW w:w="328" w:type="pct"/>
            <w:tcBorders>
              <w:top w:val="single" w:color="auto" w:sz="4" w:space="0"/>
              <w:left w:val="single" w:color="auto" w:sz="4" w:space="0"/>
              <w:bottom w:val="single" w:color="auto" w:sz="4" w:space="0"/>
              <w:right w:val="single" w:color="auto" w:sz="4" w:space="0"/>
            </w:tcBorders>
            <w:vAlign w:val="center"/>
          </w:tcPr>
          <w:p w14:paraId="5CE85BB3">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b/>
                <w:bCs/>
              </w:rPr>
            </w:pPr>
            <w:r>
              <w:rPr>
                <w:rFonts w:hint="eastAsia" w:asciiTheme="minorEastAsia" w:hAnsiTheme="minorEastAsia" w:eastAsiaTheme="minorEastAsia" w:cstheme="minorEastAsia"/>
                <w:b/>
                <w:bCs/>
              </w:rPr>
              <w:t>数量</w:t>
            </w:r>
          </w:p>
        </w:tc>
        <w:tc>
          <w:tcPr>
            <w:tcW w:w="258" w:type="pct"/>
            <w:tcBorders>
              <w:top w:val="single" w:color="auto" w:sz="4" w:space="0"/>
              <w:left w:val="single" w:color="auto" w:sz="4" w:space="0"/>
              <w:bottom w:val="single" w:color="auto" w:sz="4" w:space="0"/>
              <w:right w:val="single" w:color="auto" w:sz="4" w:space="0"/>
            </w:tcBorders>
            <w:vAlign w:val="center"/>
          </w:tcPr>
          <w:p w14:paraId="4B9AA617">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b/>
                <w:bCs/>
              </w:rPr>
            </w:pPr>
            <w:r>
              <w:rPr>
                <w:rFonts w:hint="eastAsia" w:asciiTheme="minorEastAsia" w:hAnsiTheme="minorEastAsia" w:eastAsiaTheme="minorEastAsia" w:cstheme="minorEastAsia"/>
                <w:b/>
                <w:bCs/>
              </w:rPr>
              <w:t>单位</w:t>
            </w:r>
          </w:p>
        </w:tc>
      </w:tr>
      <w:tr w14:paraId="58A7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5" w:type="pct"/>
            <w:vMerge w:val="restart"/>
            <w:tcBorders>
              <w:top w:val="single" w:color="auto" w:sz="4" w:space="0"/>
              <w:left w:val="single" w:color="auto" w:sz="4" w:space="0"/>
              <w:right w:val="single" w:color="auto" w:sz="4" w:space="0"/>
            </w:tcBorders>
            <w:vAlign w:val="center"/>
          </w:tcPr>
          <w:p w14:paraId="763C2B93">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图形工作站</w:t>
            </w:r>
            <w:r>
              <w:rPr>
                <w:rFonts w:hint="eastAsia" w:asciiTheme="minorEastAsia" w:hAnsiTheme="minorEastAsia" w:eastAsiaTheme="minorEastAsia" w:cstheme="minorEastAsia"/>
                <w:sz w:val="24"/>
                <w:szCs w:val="24"/>
              </w:rPr>
              <w:t>戴尔</w:t>
            </w:r>
            <w:r>
              <w:rPr>
                <w:rFonts w:hint="eastAsia" w:asciiTheme="minorEastAsia" w:hAnsiTheme="minorEastAsia" w:eastAsiaTheme="minorEastAsia" w:cstheme="minorEastAsia"/>
                <w:sz w:val="24"/>
                <w:szCs w:val="24"/>
                <w:lang w:val="en-US" w:eastAsia="zh-CN"/>
              </w:rPr>
              <w:t>Precision</w:t>
            </w:r>
            <w:r>
              <w:rPr>
                <w:rFonts w:hint="eastAsia" w:ascii="Arial" w:hAnsi="Arial" w:cs="Arial"/>
                <w:b/>
                <w:bCs/>
                <w:i w:val="0"/>
                <w:iCs w:val="0"/>
                <w:caps w:val="0"/>
                <w:color w:val="666666"/>
                <w:spacing w:val="0"/>
                <w:sz w:val="16"/>
                <w:szCs w:val="16"/>
                <w:shd w:val="clear" w:fill="FFFFFF"/>
                <w:lang w:val="en-US" w:eastAsia="zh-CN"/>
              </w:rPr>
              <w:t xml:space="preserve"> </w:t>
            </w:r>
            <w:r>
              <w:rPr>
                <w:rFonts w:hint="eastAsia" w:asciiTheme="minorEastAsia" w:hAnsiTheme="minorEastAsia" w:eastAsiaTheme="minorEastAsia" w:cstheme="minorEastAsia"/>
                <w:sz w:val="24"/>
                <w:szCs w:val="24"/>
                <w:lang w:eastAsia="zh-CN"/>
              </w:rPr>
              <w:t>3660</w:t>
            </w:r>
          </w:p>
        </w:tc>
        <w:tc>
          <w:tcPr>
            <w:tcW w:w="662" w:type="pct"/>
            <w:tcBorders>
              <w:top w:val="single" w:color="auto" w:sz="4" w:space="0"/>
              <w:left w:val="single" w:color="auto" w:sz="4" w:space="0"/>
              <w:bottom w:val="single" w:color="auto" w:sz="4" w:space="0"/>
              <w:right w:val="single" w:color="auto" w:sz="4" w:space="0"/>
            </w:tcBorders>
            <w:vAlign w:val="center"/>
          </w:tcPr>
          <w:p w14:paraId="16DAB65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操作系统</w:t>
            </w:r>
          </w:p>
        </w:tc>
        <w:tc>
          <w:tcPr>
            <w:tcW w:w="2956" w:type="pct"/>
            <w:tcBorders>
              <w:top w:val="single" w:color="auto" w:sz="4" w:space="0"/>
              <w:left w:val="single" w:color="auto" w:sz="4" w:space="0"/>
              <w:bottom w:val="single" w:color="auto" w:sz="4" w:space="0"/>
              <w:right w:val="single" w:color="auto" w:sz="4" w:space="0"/>
            </w:tcBorders>
            <w:vAlign w:val="center"/>
          </w:tcPr>
          <w:p w14:paraId="6BD62ADC">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Windows 11 </w:t>
            </w:r>
            <w:r>
              <w:rPr>
                <w:rFonts w:hint="eastAsia" w:asciiTheme="minorEastAsia" w:hAnsiTheme="minorEastAsia" w:eastAsiaTheme="minorEastAsia" w:cstheme="minorEastAsia"/>
                <w:sz w:val="24"/>
                <w:szCs w:val="24"/>
                <w:lang w:eastAsia="zh-CN"/>
              </w:rPr>
              <w:t>专业版</w:t>
            </w:r>
            <w:r>
              <w:rPr>
                <w:rFonts w:hint="eastAsia" w:asciiTheme="minorEastAsia" w:hAnsiTheme="minorEastAsia" w:eastAsiaTheme="minorEastAsia" w:cstheme="minorEastAsia"/>
                <w:sz w:val="24"/>
                <w:szCs w:val="24"/>
              </w:rPr>
              <w:t>，单语言版 简体中文</w:t>
            </w:r>
          </w:p>
        </w:tc>
        <w:tc>
          <w:tcPr>
            <w:tcW w:w="328" w:type="pct"/>
            <w:vMerge w:val="restart"/>
            <w:tcBorders>
              <w:top w:val="single" w:color="auto" w:sz="4" w:space="0"/>
              <w:left w:val="single" w:color="auto" w:sz="4" w:space="0"/>
              <w:right w:val="single" w:color="auto" w:sz="4" w:space="0"/>
            </w:tcBorders>
            <w:vAlign w:val="center"/>
          </w:tcPr>
          <w:p w14:paraId="2D286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6</w:t>
            </w:r>
          </w:p>
        </w:tc>
        <w:tc>
          <w:tcPr>
            <w:tcW w:w="258" w:type="pct"/>
            <w:vMerge w:val="restart"/>
            <w:tcBorders>
              <w:top w:val="single" w:color="auto" w:sz="4" w:space="0"/>
              <w:left w:val="single" w:color="auto" w:sz="4" w:space="0"/>
              <w:right w:val="single" w:color="auto" w:sz="4" w:space="0"/>
            </w:tcBorders>
            <w:vAlign w:val="center"/>
          </w:tcPr>
          <w:p w14:paraId="3E613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r>
      <w:tr w14:paraId="2B19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95" w:type="pct"/>
            <w:vMerge w:val="continue"/>
            <w:tcBorders>
              <w:left w:val="single" w:color="auto" w:sz="4" w:space="0"/>
              <w:right w:val="single" w:color="auto" w:sz="4" w:space="0"/>
            </w:tcBorders>
            <w:vAlign w:val="center"/>
          </w:tcPr>
          <w:p w14:paraId="26109DF5">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0D1EE554">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处理器</w:t>
            </w:r>
          </w:p>
        </w:tc>
        <w:tc>
          <w:tcPr>
            <w:tcW w:w="2956" w:type="pct"/>
            <w:tcBorders>
              <w:top w:val="single" w:color="auto" w:sz="4" w:space="0"/>
              <w:left w:val="single" w:color="auto" w:sz="4" w:space="0"/>
              <w:bottom w:val="single" w:color="auto" w:sz="4" w:space="0"/>
              <w:right w:val="single" w:color="auto" w:sz="4" w:space="0"/>
            </w:tcBorders>
            <w:vAlign w:val="center"/>
          </w:tcPr>
          <w:p w14:paraId="0A47E209">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相当于酷睿 i7-12700 处理器  12 核， 2.1GHz，20 线程。可支持液冷散热</w:t>
            </w:r>
          </w:p>
        </w:tc>
        <w:tc>
          <w:tcPr>
            <w:tcW w:w="328" w:type="pct"/>
            <w:vMerge w:val="continue"/>
            <w:tcBorders>
              <w:left w:val="single" w:color="auto" w:sz="4" w:space="0"/>
              <w:right w:val="single" w:color="auto" w:sz="4" w:space="0"/>
            </w:tcBorders>
            <w:vAlign w:val="center"/>
          </w:tcPr>
          <w:p w14:paraId="23AEEDFF">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1AE24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59C4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619194D0">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4BDE849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芯片组</w:t>
            </w:r>
          </w:p>
        </w:tc>
        <w:tc>
          <w:tcPr>
            <w:tcW w:w="2956" w:type="pct"/>
            <w:tcBorders>
              <w:top w:val="single" w:color="auto" w:sz="4" w:space="0"/>
              <w:left w:val="single" w:color="auto" w:sz="4" w:space="0"/>
              <w:bottom w:val="single" w:color="auto" w:sz="4" w:space="0"/>
              <w:right w:val="single" w:color="auto" w:sz="4" w:space="0"/>
            </w:tcBorders>
            <w:vAlign w:val="center"/>
          </w:tcPr>
          <w:p w14:paraId="72A25C64">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相当于英特尔® W680及以上</w:t>
            </w:r>
          </w:p>
        </w:tc>
        <w:tc>
          <w:tcPr>
            <w:tcW w:w="328" w:type="pct"/>
            <w:vMerge w:val="continue"/>
            <w:tcBorders>
              <w:left w:val="single" w:color="auto" w:sz="4" w:space="0"/>
              <w:right w:val="single" w:color="auto" w:sz="4" w:space="0"/>
            </w:tcBorders>
            <w:vAlign w:val="center"/>
          </w:tcPr>
          <w:p w14:paraId="1F3EEADA">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10B5A8A9">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5777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43A60DE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3B621E2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内存</w:t>
            </w:r>
          </w:p>
        </w:tc>
        <w:tc>
          <w:tcPr>
            <w:tcW w:w="2956" w:type="pct"/>
            <w:tcBorders>
              <w:top w:val="single" w:color="auto" w:sz="4" w:space="0"/>
              <w:left w:val="single" w:color="auto" w:sz="4" w:space="0"/>
              <w:bottom w:val="single" w:color="auto" w:sz="4" w:space="0"/>
              <w:right w:val="single" w:color="auto" w:sz="4" w:space="0"/>
            </w:tcBorders>
            <w:vAlign w:val="center"/>
          </w:tcPr>
          <w:p w14:paraId="1CE708B2">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不低于32GB，DDR5 高达 4400MHz</w:t>
            </w:r>
          </w:p>
          <w:p w14:paraId="3A6EDFEC">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4个DIMM插槽；</w:t>
            </w:r>
          </w:p>
          <w:p w14:paraId="41AB0CD1">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最高可配128 GB 4400 MHz DDR4 NECC/ECC内存</w:t>
            </w:r>
          </w:p>
        </w:tc>
        <w:tc>
          <w:tcPr>
            <w:tcW w:w="328" w:type="pct"/>
            <w:vMerge w:val="continue"/>
            <w:tcBorders>
              <w:left w:val="single" w:color="auto" w:sz="4" w:space="0"/>
              <w:right w:val="single" w:color="auto" w:sz="4" w:space="0"/>
            </w:tcBorders>
            <w:vAlign w:val="center"/>
          </w:tcPr>
          <w:p w14:paraId="6E1DED64">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0D2FC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4347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23C613AD">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4521649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硬盘</w:t>
            </w:r>
          </w:p>
        </w:tc>
        <w:tc>
          <w:tcPr>
            <w:tcW w:w="2956" w:type="pct"/>
            <w:tcBorders>
              <w:top w:val="single" w:color="auto" w:sz="4" w:space="0"/>
              <w:left w:val="single" w:color="auto" w:sz="4" w:space="0"/>
              <w:bottom w:val="single" w:color="auto" w:sz="4" w:space="0"/>
              <w:right w:val="single" w:color="auto" w:sz="4" w:space="0"/>
            </w:tcBorders>
            <w:vAlign w:val="center"/>
          </w:tcPr>
          <w:p w14:paraId="13F24F04">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512GB PCIe NVMe Class 40 M.2 固态硬盘+2TB 7200rpm SATA 3.5英寸硬盘</w:t>
            </w:r>
          </w:p>
          <w:p w14:paraId="75A4F80D">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支持 3 个 M.2 2280 PCIe NVMe SSD，不占用原有PCIE插槽</w:t>
            </w:r>
          </w:p>
          <w:p w14:paraId="6A0FF69A">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最大4个2.5 英寸或者3个3.5英寸及以上；</w:t>
            </w:r>
          </w:p>
          <w:p w14:paraId="4D81A27A">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特定存储配置提供可从正面拆卸的 2.5 英寸 SATA 或 3.5 英寸 SATA；</w:t>
            </w:r>
          </w:p>
          <w:p w14:paraId="169D116F">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HDD（带可上锁盖板和钥匙）；</w:t>
            </w:r>
          </w:p>
          <w:p w14:paraId="4A80483E">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支持前置面板硬盘热插拔；</w:t>
            </w:r>
          </w:p>
          <w:p w14:paraId="5C6035B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支持英特尔® 就绪模式™ 技术；</w:t>
            </w:r>
          </w:p>
          <w:p w14:paraId="405AD95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主动散热式超高速驱动器上最多可支持 1 个附加 PCIe SS</w:t>
            </w:r>
          </w:p>
        </w:tc>
        <w:tc>
          <w:tcPr>
            <w:tcW w:w="328" w:type="pct"/>
            <w:vMerge w:val="continue"/>
            <w:tcBorders>
              <w:left w:val="single" w:color="auto" w:sz="4" w:space="0"/>
              <w:right w:val="single" w:color="auto" w:sz="4" w:space="0"/>
            </w:tcBorders>
            <w:vAlign w:val="center"/>
          </w:tcPr>
          <w:p w14:paraId="30204DC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687F2041">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6EBF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48ABFE4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7ADB39E2">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Raid</w:t>
            </w:r>
          </w:p>
        </w:tc>
        <w:tc>
          <w:tcPr>
            <w:tcW w:w="2956" w:type="pct"/>
            <w:tcBorders>
              <w:top w:val="single" w:color="auto" w:sz="4" w:space="0"/>
              <w:left w:val="single" w:color="auto" w:sz="4" w:space="0"/>
              <w:bottom w:val="single" w:color="auto" w:sz="4" w:space="0"/>
              <w:right w:val="single" w:color="auto" w:sz="4" w:space="0"/>
            </w:tcBorders>
            <w:vAlign w:val="center"/>
          </w:tcPr>
          <w:p w14:paraId="35A9E175">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英特尔快速存储技术和基于主机的RAID 0/1/5/10</w:t>
            </w:r>
          </w:p>
        </w:tc>
        <w:tc>
          <w:tcPr>
            <w:tcW w:w="328" w:type="pct"/>
            <w:vMerge w:val="continue"/>
            <w:tcBorders>
              <w:left w:val="single" w:color="auto" w:sz="4" w:space="0"/>
              <w:right w:val="single" w:color="auto" w:sz="4" w:space="0"/>
            </w:tcBorders>
            <w:vAlign w:val="center"/>
          </w:tcPr>
          <w:p w14:paraId="19EDDC5E">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p>
        </w:tc>
        <w:tc>
          <w:tcPr>
            <w:tcW w:w="258" w:type="pct"/>
            <w:vMerge w:val="continue"/>
            <w:tcBorders>
              <w:left w:val="single" w:color="auto" w:sz="4" w:space="0"/>
              <w:right w:val="single" w:color="auto" w:sz="4" w:space="0"/>
            </w:tcBorders>
            <w:vAlign w:val="center"/>
          </w:tcPr>
          <w:p w14:paraId="5DBAA1EA">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r>
      <w:tr w14:paraId="09D1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62861879">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5956E715">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存储设备</w:t>
            </w:r>
          </w:p>
        </w:tc>
        <w:tc>
          <w:tcPr>
            <w:tcW w:w="2956" w:type="pct"/>
            <w:tcBorders>
              <w:top w:val="single" w:color="auto" w:sz="4" w:space="0"/>
              <w:left w:val="single" w:color="auto" w:sz="4" w:space="0"/>
              <w:bottom w:val="single" w:color="auto" w:sz="4" w:space="0"/>
              <w:right w:val="single" w:color="auto" w:sz="4" w:space="0"/>
            </w:tcBorders>
            <w:vAlign w:val="center"/>
          </w:tcPr>
          <w:p w14:paraId="0EB9ECA4">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无光驱，支持光驱位安装3.5寸硬盘位切换</w:t>
            </w:r>
          </w:p>
        </w:tc>
        <w:tc>
          <w:tcPr>
            <w:tcW w:w="328" w:type="pct"/>
            <w:vMerge w:val="continue"/>
            <w:tcBorders>
              <w:left w:val="single" w:color="auto" w:sz="4" w:space="0"/>
              <w:right w:val="single" w:color="auto" w:sz="4" w:space="0"/>
            </w:tcBorders>
            <w:vAlign w:val="center"/>
          </w:tcPr>
          <w:p w14:paraId="1AD25B01">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450BF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2D15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795" w:type="pct"/>
            <w:vMerge w:val="continue"/>
            <w:tcBorders>
              <w:left w:val="single" w:color="auto" w:sz="4" w:space="0"/>
              <w:right w:val="single" w:color="auto" w:sz="4" w:space="0"/>
            </w:tcBorders>
            <w:vAlign w:val="center"/>
          </w:tcPr>
          <w:p w14:paraId="27CAC41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lang w:val="zh-CN"/>
              </w:rPr>
            </w:pPr>
          </w:p>
        </w:tc>
        <w:tc>
          <w:tcPr>
            <w:tcW w:w="662" w:type="pct"/>
            <w:tcBorders>
              <w:top w:val="single" w:color="auto" w:sz="4" w:space="0"/>
              <w:left w:val="single" w:color="auto" w:sz="4" w:space="0"/>
              <w:bottom w:val="single" w:color="auto" w:sz="4" w:space="0"/>
              <w:right w:val="single" w:color="auto" w:sz="4" w:space="0"/>
            </w:tcBorders>
            <w:vAlign w:val="center"/>
          </w:tcPr>
          <w:p w14:paraId="01CB87A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显卡</w:t>
            </w:r>
          </w:p>
        </w:tc>
        <w:tc>
          <w:tcPr>
            <w:tcW w:w="2956" w:type="pct"/>
            <w:tcBorders>
              <w:top w:val="single" w:color="auto" w:sz="4" w:space="0"/>
              <w:left w:val="single" w:color="auto" w:sz="4" w:space="0"/>
              <w:bottom w:val="single" w:color="auto" w:sz="4" w:space="0"/>
              <w:right w:val="single" w:color="auto" w:sz="4" w:space="0"/>
            </w:tcBorders>
            <w:vAlign w:val="center"/>
          </w:tcPr>
          <w:p w14:paraId="267A3112">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不低于NVIDIA T1000 8G GDDR6 显卡</w:t>
            </w:r>
          </w:p>
        </w:tc>
        <w:tc>
          <w:tcPr>
            <w:tcW w:w="328" w:type="pct"/>
            <w:vMerge w:val="continue"/>
            <w:tcBorders>
              <w:left w:val="single" w:color="auto" w:sz="4" w:space="0"/>
              <w:right w:val="single" w:color="auto" w:sz="4" w:space="0"/>
            </w:tcBorders>
            <w:vAlign w:val="center"/>
          </w:tcPr>
          <w:p w14:paraId="34FDC27F">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p>
        </w:tc>
        <w:tc>
          <w:tcPr>
            <w:tcW w:w="258" w:type="pct"/>
            <w:vMerge w:val="continue"/>
            <w:tcBorders>
              <w:left w:val="single" w:color="auto" w:sz="4" w:space="0"/>
              <w:right w:val="single" w:color="auto" w:sz="4" w:space="0"/>
            </w:tcBorders>
            <w:vAlign w:val="center"/>
          </w:tcPr>
          <w:p w14:paraId="327A92F2">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r>
      <w:tr w14:paraId="5F59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35309426">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61D48D8D">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音频</w:t>
            </w:r>
          </w:p>
        </w:tc>
        <w:tc>
          <w:tcPr>
            <w:tcW w:w="2956" w:type="pct"/>
            <w:tcBorders>
              <w:top w:val="single" w:color="auto" w:sz="4" w:space="0"/>
              <w:left w:val="single" w:color="auto" w:sz="4" w:space="0"/>
              <w:bottom w:val="single" w:color="auto" w:sz="4" w:space="0"/>
              <w:right w:val="single" w:color="auto" w:sz="4" w:space="0"/>
            </w:tcBorders>
            <w:vAlign w:val="center"/>
          </w:tcPr>
          <w:p w14:paraId="1EB96B10">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集成Realtek 音频控制器</w:t>
            </w:r>
          </w:p>
        </w:tc>
        <w:tc>
          <w:tcPr>
            <w:tcW w:w="328" w:type="pct"/>
            <w:vMerge w:val="continue"/>
            <w:tcBorders>
              <w:left w:val="single" w:color="auto" w:sz="4" w:space="0"/>
              <w:right w:val="single" w:color="auto" w:sz="4" w:space="0"/>
            </w:tcBorders>
            <w:vAlign w:val="center"/>
          </w:tcPr>
          <w:p w14:paraId="5C0CEF55">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58A60A7C">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55A8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95" w:type="pct"/>
            <w:vMerge w:val="continue"/>
            <w:tcBorders>
              <w:left w:val="single" w:color="auto" w:sz="4" w:space="0"/>
              <w:right w:val="single" w:color="auto" w:sz="4" w:space="0"/>
            </w:tcBorders>
            <w:vAlign w:val="center"/>
          </w:tcPr>
          <w:p w14:paraId="54E264D2">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64DD6C3A">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网络</w:t>
            </w:r>
          </w:p>
        </w:tc>
        <w:tc>
          <w:tcPr>
            <w:tcW w:w="2956" w:type="pct"/>
            <w:tcBorders>
              <w:top w:val="single" w:color="auto" w:sz="4" w:space="0"/>
              <w:left w:val="single" w:color="auto" w:sz="4" w:space="0"/>
              <w:bottom w:val="single" w:color="auto" w:sz="4" w:space="0"/>
              <w:right w:val="single" w:color="auto" w:sz="4" w:space="0"/>
            </w:tcBorders>
            <w:vAlign w:val="center"/>
          </w:tcPr>
          <w:p w14:paraId="06DC1470">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集成：英特尔以太网连接I219-LM 10/100/1000 </w:t>
            </w:r>
          </w:p>
        </w:tc>
        <w:tc>
          <w:tcPr>
            <w:tcW w:w="328" w:type="pct"/>
            <w:vMerge w:val="continue"/>
            <w:tcBorders>
              <w:left w:val="single" w:color="auto" w:sz="4" w:space="0"/>
              <w:right w:val="single" w:color="auto" w:sz="4" w:space="0"/>
            </w:tcBorders>
            <w:vAlign w:val="center"/>
          </w:tcPr>
          <w:p w14:paraId="4B8E2E5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49EF908B">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0A34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1090507E">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0094465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端口</w:t>
            </w:r>
          </w:p>
        </w:tc>
        <w:tc>
          <w:tcPr>
            <w:tcW w:w="2956" w:type="pct"/>
            <w:tcBorders>
              <w:top w:val="single" w:color="auto" w:sz="4" w:space="0"/>
              <w:left w:val="single" w:color="auto" w:sz="4" w:space="0"/>
              <w:bottom w:val="single" w:color="auto" w:sz="4" w:space="0"/>
              <w:right w:val="single" w:color="auto" w:sz="4" w:space="0"/>
            </w:tcBorders>
            <w:vAlign w:val="center"/>
          </w:tcPr>
          <w:p w14:paraId="5A42EB62">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1.光驱（可选）</w:t>
            </w:r>
          </w:p>
          <w:p w14:paraId="054BD21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2.电源按钮</w:t>
            </w:r>
          </w:p>
          <w:p w14:paraId="0878211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3.音频麦克风组合（3.5 毫米）插孔</w:t>
            </w:r>
          </w:p>
          <w:p w14:paraId="3A154E4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 个）USB 3.2 Type-A 第 1 代端口 (5 Gbps)</w:t>
            </w:r>
          </w:p>
          <w:p w14:paraId="1FB9A00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5.USB 3.2 Type-C 第 2 代端口 (10 Gbps)，仅限数据传输</w:t>
            </w:r>
          </w:p>
          <w:p w14:paraId="676C3C8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6.USB 3.2 Type-C 第 2x2 代端口 (20 Gbps)，仅限数据传输</w:t>
            </w:r>
          </w:p>
          <w:p w14:paraId="304385B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7.SD 卡读卡器 4.0 插槽</w:t>
            </w:r>
          </w:p>
          <w:p w14:paraId="616D9B1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8.音频输出（3.5 毫米插孔）</w:t>
            </w:r>
          </w:p>
          <w:p w14:paraId="55A60484">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 个）DP1.4++ HBR2</w:t>
            </w:r>
          </w:p>
          <w:p w14:paraId="054B4BC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 个）USB 3.2 Type-C 第 2 代端口 (10 Gbps)，支持供电传输</w:t>
            </w:r>
          </w:p>
          <w:p w14:paraId="09D9BE59">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 个）USB 3.2 Type-A 第 2 代端口 (10 Gbps)</w:t>
            </w:r>
          </w:p>
          <w:p w14:paraId="2BB3CCE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 个）USB 2.0 Type-A 端口</w:t>
            </w:r>
          </w:p>
          <w:p w14:paraId="37E93CE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13.RJ45 i219 LAN (1 G)-可选的</w:t>
            </w:r>
          </w:p>
          <w:p w14:paraId="0E62F1E9">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14.电源接口</w:t>
            </w:r>
          </w:p>
          <w:p w14:paraId="44783E39">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15.LED 指示灯</w:t>
            </w:r>
          </w:p>
        </w:tc>
        <w:tc>
          <w:tcPr>
            <w:tcW w:w="328" w:type="pct"/>
            <w:vMerge w:val="continue"/>
            <w:tcBorders>
              <w:left w:val="single" w:color="auto" w:sz="4" w:space="0"/>
              <w:right w:val="single" w:color="auto" w:sz="4" w:space="0"/>
            </w:tcBorders>
            <w:vAlign w:val="center"/>
          </w:tcPr>
          <w:p w14:paraId="4723EFBE">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01FD84A2">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536B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95" w:type="pct"/>
            <w:vMerge w:val="continue"/>
            <w:tcBorders>
              <w:left w:val="single" w:color="auto" w:sz="4" w:space="0"/>
              <w:right w:val="single" w:color="auto" w:sz="4" w:space="0"/>
            </w:tcBorders>
            <w:vAlign w:val="center"/>
          </w:tcPr>
          <w:p w14:paraId="56F24CF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7C0265D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插槽</w:t>
            </w:r>
          </w:p>
        </w:tc>
        <w:tc>
          <w:tcPr>
            <w:tcW w:w="2956" w:type="pct"/>
            <w:tcBorders>
              <w:top w:val="single" w:color="auto" w:sz="4" w:space="0"/>
              <w:left w:val="single" w:color="auto" w:sz="4" w:space="0"/>
              <w:bottom w:val="single" w:color="auto" w:sz="4" w:space="0"/>
              <w:right w:val="single" w:color="auto" w:sz="4" w:space="0"/>
            </w:tcBorders>
            <w:vAlign w:val="center"/>
          </w:tcPr>
          <w:p w14:paraId="79C29A3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全高 Gen5 PCIe x16 插槽</w:t>
            </w:r>
          </w:p>
          <w:p w14:paraId="0E0E132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全高 Gen3 PCIe x4 插槽</w:t>
            </w:r>
          </w:p>
          <w:p w14:paraId="656C1C7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全高 Gen 4 PCIe x4 插槽</w:t>
            </w:r>
          </w:p>
          <w:p w14:paraId="5476DF98">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个用于 WiFi 和蓝牙卡的 M.2 2230 插槽</w:t>
            </w:r>
          </w:p>
          <w:p w14:paraId="59A0596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 个适用于 NVMe SSD 的 M.2 2230/2280 PCIe Gen4 </w:t>
            </w:r>
          </w:p>
          <w:p w14:paraId="0D736982">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插槽</w:t>
            </w:r>
          </w:p>
          <w:p w14:paraId="3B2D9335">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个适用于 NVMe SSD 的 M.2 2280 PCIe Gen3 插槽</w:t>
            </w:r>
          </w:p>
          <w:p w14:paraId="7F4E120A">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个适用于 2.5/3.5 英寸 HDD/ODD 的 SATA 插槽</w:t>
            </w:r>
          </w:p>
        </w:tc>
        <w:tc>
          <w:tcPr>
            <w:tcW w:w="328" w:type="pct"/>
            <w:vMerge w:val="continue"/>
            <w:tcBorders>
              <w:left w:val="single" w:color="auto" w:sz="4" w:space="0"/>
              <w:right w:val="single" w:color="auto" w:sz="4" w:space="0"/>
            </w:tcBorders>
            <w:vAlign w:val="center"/>
          </w:tcPr>
          <w:p w14:paraId="58652B4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6E2C3AA0">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27A9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563CBF20">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399747C5">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电源</w:t>
            </w:r>
          </w:p>
        </w:tc>
        <w:tc>
          <w:tcPr>
            <w:tcW w:w="2956" w:type="pct"/>
            <w:tcBorders>
              <w:top w:val="single" w:color="auto" w:sz="4" w:space="0"/>
              <w:left w:val="single" w:color="auto" w:sz="4" w:space="0"/>
              <w:bottom w:val="single" w:color="auto" w:sz="4" w:space="0"/>
              <w:right w:val="single" w:color="auto" w:sz="4" w:space="0"/>
            </w:tcBorders>
            <w:vAlign w:val="center"/>
          </w:tcPr>
          <w:p w14:paraId="2A81923C">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 xml:space="preserve">300 W 内置电源装置，能效为 92% 的 PSU，80 Plus </w:t>
            </w:r>
          </w:p>
          <w:p w14:paraId="338B0BC1">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rPr>
              <w:t>Platinum 电源自带LED故障诊断灯</w:t>
            </w:r>
          </w:p>
        </w:tc>
        <w:tc>
          <w:tcPr>
            <w:tcW w:w="328" w:type="pct"/>
            <w:vMerge w:val="continue"/>
            <w:tcBorders>
              <w:left w:val="single" w:color="auto" w:sz="4" w:space="0"/>
              <w:right w:val="single" w:color="auto" w:sz="4" w:space="0"/>
            </w:tcBorders>
            <w:vAlign w:val="center"/>
          </w:tcPr>
          <w:p w14:paraId="1D90C345">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p>
        </w:tc>
        <w:tc>
          <w:tcPr>
            <w:tcW w:w="258" w:type="pct"/>
            <w:vMerge w:val="continue"/>
            <w:tcBorders>
              <w:left w:val="single" w:color="auto" w:sz="4" w:space="0"/>
              <w:right w:val="single" w:color="auto" w:sz="4" w:space="0"/>
            </w:tcBorders>
            <w:vAlign w:val="center"/>
          </w:tcPr>
          <w:p w14:paraId="593DE964">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r>
      <w:tr w14:paraId="1B66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625979F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24DE161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机箱</w:t>
            </w:r>
          </w:p>
        </w:tc>
        <w:tc>
          <w:tcPr>
            <w:tcW w:w="2956" w:type="pct"/>
            <w:tcBorders>
              <w:top w:val="single" w:color="auto" w:sz="4" w:space="0"/>
              <w:left w:val="single" w:color="auto" w:sz="4" w:space="0"/>
              <w:bottom w:val="single" w:color="auto" w:sz="4" w:space="0"/>
              <w:right w:val="single" w:color="auto" w:sz="4" w:space="0"/>
            </w:tcBorders>
            <w:vAlign w:val="center"/>
          </w:tcPr>
          <w:p w14:paraId="5D7EA187">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机箱≥18L</w:t>
            </w:r>
          </w:p>
        </w:tc>
        <w:tc>
          <w:tcPr>
            <w:tcW w:w="328" w:type="pct"/>
            <w:vMerge w:val="continue"/>
            <w:tcBorders>
              <w:left w:val="single" w:color="auto" w:sz="4" w:space="0"/>
              <w:right w:val="single" w:color="auto" w:sz="4" w:space="0"/>
            </w:tcBorders>
            <w:vAlign w:val="center"/>
          </w:tcPr>
          <w:p w14:paraId="73F8F746">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p>
        </w:tc>
        <w:tc>
          <w:tcPr>
            <w:tcW w:w="258" w:type="pct"/>
            <w:vMerge w:val="continue"/>
            <w:tcBorders>
              <w:left w:val="single" w:color="auto" w:sz="4" w:space="0"/>
              <w:right w:val="single" w:color="auto" w:sz="4" w:space="0"/>
            </w:tcBorders>
            <w:vAlign w:val="center"/>
          </w:tcPr>
          <w:p w14:paraId="315036EC">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r>
      <w:tr w14:paraId="0D84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4DE615A0">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619C015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安全性</w:t>
            </w:r>
          </w:p>
        </w:tc>
        <w:tc>
          <w:tcPr>
            <w:tcW w:w="2956" w:type="pct"/>
            <w:tcBorders>
              <w:top w:val="single" w:color="auto" w:sz="4" w:space="0"/>
              <w:left w:val="single" w:color="auto" w:sz="4" w:space="0"/>
              <w:bottom w:val="single" w:color="auto" w:sz="4" w:space="0"/>
              <w:right w:val="single" w:color="auto" w:sz="4" w:space="0"/>
            </w:tcBorders>
            <w:vAlign w:val="center"/>
          </w:tcPr>
          <w:p w14:paraId="62EAAC48">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机箱防盗开关 </w:t>
            </w:r>
          </w:p>
          <w:p w14:paraId="5D036FA7">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SafeID，包括可信平台模块 (TPM) 2.0 </w:t>
            </w:r>
          </w:p>
          <w:p w14:paraId="4A113373">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通过 BIOS 进行的本地硬盘数据擦除（安全擦除） </w:t>
            </w:r>
          </w:p>
          <w:p w14:paraId="2C354D4B">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可信平台模块 (TPM) 2.0 </w:t>
            </w:r>
          </w:p>
          <w:p w14:paraId="7ABEE305">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SafeBIOS</w:t>
            </w:r>
          </w:p>
        </w:tc>
        <w:tc>
          <w:tcPr>
            <w:tcW w:w="328" w:type="pct"/>
            <w:vMerge w:val="continue"/>
            <w:tcBorders>
              <w:left w:val="single" w:color="auto" w:sz="4" w:space="0"/>
              <w:right w:val="single" w:color="auto" w:sz="4" w:space="0"/>
            </w:tcBorders>
            <w:vAlign w:val="center"/>
          </w:tcPr>
          <w:p w14:paraId="02430588">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3EC90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0316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6558CF8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4F5DC61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color="auto" w:fill="FFFFFF"/>
              </w:rPr>
              <w:t>电子产品环境评价工具</w:t>
            </w:r>
          </w:p>
        </w:tc>
        <w:tc>
          <w:tcPr>
            <w:tcW w:w="2956" w:type="pct"/>
            <w:tcBorders>
              <w:top w:val="single" w:color="auto" w:sz="4" w:space="0"/>
              <w:left w:val="single" w:color="auto" w:sz="4" w:space="0"/>
              <w:bottom w:val="single" w:color="auto" w:sz="4" w:space="0"/>
              <w:right w:val="single" w:color="auto" w:sz="4" w:space="0"/>
            </w:tcBorders>
            <w:vAlign w:val="center"/>
          </w:tcPr>
          <w:p w14:paraId="4F7DC5B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产品通过EPEAT认证</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提供相关资料，加盖投标人公章</w:t>
            </w:r>
            <w:r>
              <w:rPr>
                <w:rFonts w:hint="eastAsia" w:asciiTheme="minorEastAsia" w:hAnsiTheme="minorEastAsia" w:eastAsiaTheme="minorEastAsia" w:cstheme="minorEastAsia"/>
                <w:sz w:val="24"/>
                <w:szCs w:val="24"/>
                <w:lang w:eastAsia="zh-CN"/>
              </w:rPr>
              <w:t>）</w:t>
            </w:r>
          </w:p>
        </w:tc>
        <w:tc>
          <w:tcPr>
            <w:tcW w:w="328" w:type="pct"/>
            <w:vMerge w:val="continue"/>
            <w:tcBorders>
              <w:left w:val="single" w:color="auto" w:sz="4" w:space="0"/>
              <w:right w:val="single" w:color="auto" w:sz="4" w:space="0"/>
            </w:tcBorders>
            <w:vAlign w:val="bottom"/>
          </w:tcPr>
          <w:p w14:paraId="493A045E">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50878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6DE4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5FC1A775">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6DEA759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CQC认证</w:t>
            </w:r>
          </w:p>
        </w:tc>
        <w:tc>
          <w:tcPr>
            <w:tcW w:w="2956" w:type="pct"/>
            <w:tcBorders>
              <w:top w:val="single" w:color="auto" w:sz="4" w:space="0"/>
              <w:left w:val="single" w:color="auto" w:sz="4" w:space="0"/>
              <w:bottom w:val="single" w:color="auto" w:sz="4" w:space="0"/>
              <w:right w:val="single" w:color="auto" w:sz="4" w:space="0"/>
            </w:tcBorders>
            <w:vAlign w:val="bottom"/>
          </w:tcPr>
          <w:p w14:paraId="01231490">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产品通过CQC认证</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提供相关资料，加盖投标人公章</w:t>
            </w:r>
            <w:r>
              <w:rPr>
                <w:rFonts w:hint="eastAsia" w:asciiTheme="minorEastAsia" w:hAnsiTheme="minorEastAsia" w:eastAsiaTheme="minorEastAsia" w:cstheme="minorEastAsia"/>
                <w:sz w:val="24"/>
                <w:szCs w:val="24"/>
                <w:lang w:eastAsia="zh-CN"/>
              </w:rPr>
              <w:t>）</w:t>
            </w:r>
          </w:p>
        </w:tc>
        <w:tc>
          <w:tcPr>
            <w:tcW w:w="328" w:type="pct"/>
            <w:vMerge w:val="continue"/>
            <w:tcBorders>
              <w:left w:val="single" w:color="auto" w:sz="4" w:space="0"/>
              <w:right w:val="single" w:color="auto" w:sz="4" w:space="0"/>
            </w:tcBorders>
            <w:vAlign w:val="bottom"/>
          </w:tcPr>
          <w:p w14:paraId="4E07B08D">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2C672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69A1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3FA7D92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7BEF39A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显示器</w:t>
            </w:r>
          </w:p>
        </w:tc>
        <w:tc>
          <w:tcPr>
            <w:tcW w:w="2956" w:type="pct"/>
            <w:tcBorders>
              <w:top w:val="single" w:color="auto" w:sz="4" w:space="0"/>
              <w:left w:val="single" w:color="auto" w:sz="4" w:space="0"/>
              <w:bottom w:val="single" w:color="auto" w:sz="4" w:space="0"/>
              <w:right w:val="single" w:color="auto" w:sz="4" w:space="0"/>
            </w:tcBorders>
            <w:vAlign w:val="bottom"/>
          </w:tcPr>
          <w:p w14:paraId="1DFA4153">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可视尺寸不小于21.45in，分辨率1920*1080</w:t>
            </w:r>
          </w:p>
        </w:tc>
        <w:tc>
          <w:tcPr>
            <w:tcW w:w="328" w:type="pct"/>
            <w:vMerge w:val="continue"/>
            <w:tcBorders>
              <w:left w:val="single" w:color="auto" w:sz="4" w:space="0"/>
              <w:right w:val="single" w:color="auto" w:sz="4" w:space="0"/>
            </w:tcBorders>
            <w:vAlign w:val="bottom"/>
          </w:tcPr>
          <w:p w14:paraId="17E37A81">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5D32C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26ED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vMerge w:val="continue"/>
            <w:tcBorders>
              <w:left w:val="single" w:color="auto" w:sz="4" w:space="0"/>
              <w:right w:val="single" w:color="auto" w:sz="4" w:space="0"/>
            </w:tcBorders>
            <w:vAlign w:val="center"/>
          </w:tcPr>
          <w:p w14:paraId="3875464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66D44115">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管理软件</w:t>
            </w:r>
          </w:p>
        </w:tc>
        <w:tc>
          <w:tcPr>
            <w:tcW w:w="2956" w:type="pct"/>
            <w:tcBorders>
              <w:top w:val="single" w:color="auto" w:sz="4" w:space="0"/>
              <w:left w:val="single" w:color="auto" w:sz="4" w:space="0"/>
              <w:bottom w:val="single" w:color="auto" w:sz="4" w:space="0"/>
              <w:right w:val="single" w:color="auto" w:sz="4" w:space="0"/>
            </w:tcBorders>
            <w:vAlign w:val="center"/>
          </w:tcPr>
          <w:p w14:paraId="537F490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1.支持多达1500个操作系统启动（含虚拟系统），建立的虚拟系统可以解决硬盘容量小，无法安装多个操作系统的困扰，每个系统数据相互隔离，不同的操作系统可独立设置私有的计算机名和IP地址。</w:t>
            </w:r>
          </w:p>
          <w:p w14:paraId="683AB52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2.支持主流Windows、Linux及麒麟、UOS等国产化操作系统保护/还原/克隆，同时可设置手动还原、不还原、每次开机还原、每天/每周/每月特定时间还原等多个还原模式（提供软件功能界面截图并加盖投标人公章）。</w:t>
            </w:r>
          </w:p>
          <w:p w14:paraId="6E8BF628">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3.支持双硬盘保护还原及同传，同传支持UEFI PXE和Legacy PXE双模式自动连线及有效数据或增量的小传大或大传小（提供软件功能界面截图并加盖投标人公章）。</w:t>
            </w:r>
          </w:p>
          <w:p w14:paraId="15F9D8B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4.支持BIOS底层管理，无需进入Windows系统即可完成对硬盘分区新建、删除和编辑维护，及IP地址、ID信息、计算机名、管理密码信息的修改和关机重启操作（提供软件功能界面截图并加盖投标人公章）。</w:t>
            </w:r>
          </w:p>
          <w:p w14:paraId="039CBAF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5.支持BIOS底层管理员模式、还原模式、考试模式一键自由切换（提供软件功能界面截图并加盖投标人公章）。</w:t>
            </w:r>
          </w:p>
          <w:p w14:paraId="68C7BBB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6.支持主控端向被控端批量发送消息和通知，通知内容以滚动字幕的方式显示在被控端桌面，避免用户遗漏查收重要通知信息（提供软件功能界面截图并加盖投标人公章）。</w:t>
            </w:r>
          </w:p>
          <w:p w14:paraId="23F8F5E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7.支持多系统一键切换和终端键鼠/屏幕/USB/光驱/网络/扬声器等设备批量锁定或解锁（提供软件功能界面截图并加盖投标人公章）。</w:t>
            </w:r>
          </w:p>
          <w:p w14:paraId="1F30A773">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8.支持终端批量一键自动升级，无需逐台卸载安装，节省维护时间（提供软件功能界面截图并加盖投标人公章）。</w:t>
            </w:r>
          </w:p>
          <w:p w14:paraId="08C3DA1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9.支持控制端UI自定义更换和在线时长强制退出机制，确保用户长时间未使用时，非管理人员对系统进行误操作（提供软件功能界面截图并加盖投标人公章）。</w:t>
            </w:r>
          </w:p>
          <w:p w14:paraId="206A438A">
            <w:pPr>
              <w:pStyle w:val="2"/>
              <w:rPr>
                <w:rFonts w:hint="default" w:eastAsiaTheme="minorEastAsia"/>
                <w:lang w:val="en-US" w:eastAsia="zh-CN"/>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color w:val="auto"/>
                <w:kern w:val="2"/>
                <w:sz w:val="24"/>
                <w:szCs w:val="24"/>
                <w:lang w:val="en-US" w:eastAsia="zh-CN" w:bidi="ar-SA"/>
              </w:rPr>
              <w:t>.提供管理软件的计算机软件著作权登记证书复印件（加盖投标人公章）</w:t>
            </w:r>
          </w:p>
        </w:tc>
        <w:tc>
          <w:tcPr>
            <w:tcW w:w="328" w:type="pct"/>
            <w:vMerge w:val="continue"/>
            <w:tcBorders>
              <w:left w:val="single" w:color="auto" w:sz="4" w:space="0"/>
              <w:right w:val="single" w:color="auto" w:sz="4" w:space="0"/>
            </w:tcBorders>
            <w:vAlign w:val="center"/>
          </w:tcPr>
          <w:p w14:paraId="53336764">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vMerge w:val="continue"/>
            <w:tcBorders>
              <w:left w:val="single" w:color="auto" w:sz="4" w:space="0"/>
              <w:right w:val="single" w:color="auto" w:sz="4" w:space="0"/>
            </w:tcBorders>
            <w:vAlign w:val="center"/>
          </w:tcPr>
          <w:p w14:paraId="0FA32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6D8C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pct"/>
            <w:tcBorders>
              <w:left w:val="single" w:color="auto" w:sz="4" w:space="0"/>
              <w:right w:val="single" w:color="auto" w:sz="4" w:space="0"/>
            </w:tcBorders>
            <w:vAlign w:val="center"/>
          </w:tcPr>
          <w:p w14:paraId="4348263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01343506">
            <w:pPr>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售后服务</w:t>
            </w:r>
          </w:p>
        </w:tc>
        <w:tc>
          <w:tcPr>
            <w:tcW w:w="2956" w:type="pct"/>
            <w:tcBorders>
              <w:top w:val="single" w:color="auto" w:sz="4" w:space="0"/>
              <w:left w:val="single" w:color="auto" w:sz="4" w:space="0"/>
              <w:bottom w:val="single" w:color="auto" w:sz="4" w:space="0"/>
              <w:right w:val="single" w:color="auto" w:sz="4" w:space="0"/>
            </w:tcBorders>
            <w:vAlign w:val="center"/>
          </w:tcPr>
          <w:p w14:paraId="50F5A73C">
            <w:pPr>
              <w:pStyle w:val="2"/>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提供3年上门售后服务</w:t>
            </w:r>
          </w:p>
        </w:tc>
        <w:tc>
          <w:tcPr>
            <w:tcW w:w="328" w:type="pct"/>
            <w:tcBorders>
              <w:left w:val="single" w:color="auto" w:sz="4" w:space="0"/>
              <w:right w:val="single" w:color="auto" w:sz="4" w:space="0"/>
            </w:tcBorders>
            <w:vAlign w:val="center"/>
          </w:tcPr>
          <w:p w14:paraId="6D797734">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tcBorders>
              <w:left w:val="single" w:color="auto" w:sz="4" w:space="0"/>
              <w:right w:val="single" w:color="auto" w:sz="4" w:space="0"/>
            </w:tcBorders>
            <w:vAlign w:val="center"/>
          </w:tcPr>
          <w:p w14:paraId="6312D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609E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95" w:type="pct"/>
            <w:tcBorders>
              <w:left w:val="single" w:color="auto" w:sz="4" w:space="0"/>
              <w:bottom w:val="single" w:color="auto" w:sz="4" w:space="0"/>
              <w:right w:val="single" w:color="auto" w:sz="4" w:space="0"/>
            </w:tcBorders>
            <w:vAlign w:val="center"/>
          </w:tcPr>
          <w:p w14:paraId="578D00B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662" w:type="pct"/>
            <w:tcBorders>
              <w:top w:val="single" w:color="auto" w:sz="4" w:space="0"/>
              <w:left w:val="single" w:color="auto" w:sz="4" w:space="0"/>
              <w:bottom w:val="single" w:color="auto" w:sz="4" w:space="0"/>
              <w:right w:val="single" w:color="auto" w:sz="4" w:space="0"/>
            </w:tcBorders>
            <w:vAlign w:val="center"/>
          </w:tcPr>
          <w:p w14:paraId="0489ED5C">
            <w:pPr>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教学软件安装服务</w:t>
            </w:r>
          </w:p>
        </w:tc>
        <w:tc>
          <w:tcPr>
            <w:tcW w:w="2956" w:type="pct"/>
            <w:tcBorders>
              <w:top w:val="single" w:color="auto" w:sz="4" w:space="0"/>
              <w:left w:val="single" w:color="auto" w:sz="4" w:space="0"/>
              <w:bottom w:val="single" w:color="auto" w:sz="4" w:space="0"/>
              <w:right w:val="single" w:color="auto" w:sz="4" w:space="0"/>
            </w:tcBorders>
            <w:vAlign w:val="center"/>
          </w:tcPr>
          <w:p w14:paraId="102E3770">
            <w:pPr>
              <w:pStyle w:val="2"/>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按要求安装各种教学软件包括安装AutoCAD、安装office、大疆飞控软件、ArcGIS、MapGIS、Mapinfod等软件并调试至符合教学使用。</w:t>
            </w:r>
          </w:p>
        </w:tc>
        <w:tc>
          <w:tcPr>
            <w:tcW w:w="328" w:type="pct"/>
            <w:tcBorders>
              <w:left w:val="single" w:color="auto" w:sz="4" w:space="0"/>
              <w:bottom w:val="single" w:color="auto" w:sz="4" w:space="0"/>
              <w:right w:val="single" w:color="auto" w:sz="4" w:space="0"/>
            </w:tcBorders>
            <w:vAlign w:val="center"/>
          </w:tcPr>
          <w:p w14:paraId="15B9AAB3">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258" w:type="pct"/>
            <w:tcBorders>
              <w:left w:val="single" w:color="auto" w:sz="4" w:space="0"/>
              <w:bottom w:val="single" w:color="auto" w:sz="4" w:space="0"/>
              <w:right w:val="single" w:color="auto" w:sz="4" w:space="0"/>
            </w:tcBorders>
            <w:vAlign w:val="center"/>
          </w:tcPr>
          <w:p w14:paraId="5BCAC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bl>
    <w:p w14:paraId="7A13F6B8">
      <w:pPr>
        <w:numPr>
          <w:ilvl w:val="0"/>
          <w:numId w:val="0"/>
        </w:numPr>
        <w:spacing w:line="360" w:lineRule="auto"/>
        <w:rPr>
          <w:rFonts w:hint="eastAsia" w:ascii="宋体" w:hAnsi="宋体" w:cs="宋体"/>
          <w:b/>
          <w:bCs/>
          <w:sz w:val="28"/>
          <w:szCs w:val="28"/>
        </w:rPr>
      </w:pPr>
    </w:p>
    <w:p w14:paraId="181E8217">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3A035B61">
      <w:pPr>
        <w:numPr>
          <w:ilvl w:val="255"/>
          <w:numId w:val="0"/>
        </w:numPr>
        <w:spacing w:line="360" w:lineRule="auto"/>
        <w:ind w:firstLine="560" w:firstLineChars="200"/>
        <w:jc w:val="left"/>
        <w:rPr>
          <w:rFonts w:ascii="宋体" w:hAnsi="宋体" w:cs="宋体"/>
          <w:b/>
          <w:bCs/>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52236BD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7EBD3FD">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b/>
          <w:bCs/>
          <w:sz w:val="28"/>
          <w:szCs w:val="28"/>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3F56652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b/>
          <w:bCs/>
          <w:sz w:val="28"/>
          <w:szCs w:val="28"/>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3F75BC42">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68753651">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561D2653">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73EADA5B">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63B0189A">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报价文件内容</w:t>
      </w:r>
    </w:p>
    <w:p w14:paraId="7816DD5A">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2735E554">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14:paraId="33C96F1C">
      <w:pPr>
        <w:pStyle w:val="4"/>
        <w:numPr>
          <w:ilvl w:val="0"/>
          <w:numId w:val="6"/>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w:t>
      </w:r>
      <w:r>
        <w:rPr>
          <w:rFonts w:hint="eastAsia" w:ascii="宋体" w:hAnsi="宋体" w:cs="宋体"/>
          <w:b w:val="0"/>
          <w:bCs/>
          <w:szCs w:val="28"/>
        </w:rPr>
        <w:t>承诺书</w:t>
      </w:r>
      <w:r>
        <w:rPr>
          <w:rFonts w:hint="eastAsia" w:ascii="宋体" w:hAnsi="宋体" w:cs="宋体"/>
          <w:b w:val="0"/>
          <w:szCs w:val="28"/>
        </w:rPr>
        <w:t>》（附件3）。</w:t>
      </w:r>
    </w:p>
    <w:p w14:paraId="41413345">
      <w:pPr>
        <w:numPr>
          <w:ilvl w:val="0"/>
          <w:numId w:val="6"/>
        </w:numPr>
        <w:spacing w:line="360" w:lineRule="auto"/>
        <w:ind w:firstLine="560" w:firstLineChars="200"/>
        <w:jc w:val="left"/>
        <w:rPr>
          <w:rFonts w:hint="eastAsia" w:ascii="宋体" w:hAnsi="宋体" w:cs="宋体"/>
          <w:sz w:val="28"/>
          <w:szCs w:val="28"/>
          <w:lang w:val="en-US" w:eastAsia="zh-CN"/>
        </w:rPr>
      </w:pPr>
      <w:r>
        <w:rPr>
          <w:rFonts w:hint="eastAsia" w:ascii="宋体" w:hAnsi="宋体" w:cs="宋体"/>
          <w:sz w:val="28"/>
          <w:szCs w:val="28"/>
        </w:rPr>
        <w:t>提交企业法人《营业执照》副本或事业单位法人证书或法人登记证书复印件，并加盖报价供应商公章。</w:t>
      </w:r>
    </w:p>
    <w:p w14:paraId="2DD95F58">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0B1A47DA">
      <w:pPr>
        <w:rPr>
          <w:rFonts w:ascii="宋体" w:hAnsi="宋体" w:cs="宋体"/>
          <w:b/>
          <w:sz w:val="24"/>
        </w:rPr>
      </w:pPr>
      <w:r>
        <w:rPr>
          <w:rFonts w:hint="eastAsia" w:ascii="宋体" w:hAnsi="宋体" w:cs="宋体"/>
          <w:b/>
          <w:sz w:val="24"/>
        </w:rPr>
        <w:br w:type="page"/>
      </w:r>
      <w:bookmarkStart w:id="0" w:name="_GoBack"/>
      <w:bookmarkEnd w:id="0"/>
    </w:p>
    <w:p w14:paraId="2880D4AC">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5764FDD1">
      <w:pPr>
        <w:tabs>
          <w:tab w:val="left" w:pos="8100"/>
        </w:tabs>
        <w:adjustRightInd w:val="0"/>
        <w:snapToGrid w:val="0"/>
        <w:spacing w:line="348" w:lineRule="auto"/>
        <w:rPr>
          <w:rFonts w:ascii="宋体" w:hAnsi="宋体" w:cs="宋体"/>
          <w:b/>
          <w:sz w:val="24"/>
        </w:rPr>
      </w:pPr>
    </w:p>
    <w:p w14:paraId="63899E62">
      <w:pPr>
        <w:pStyle w:val="4"/>
        <w:spacing w:before="0" w:after="0" w:line="400" w:lineRule="exact"/>
        <w:jc w:val="center"/>
        <w:rPr>
          <w:rFonts w:ascii="宋体" w:hAnsi="宋体" w:cs="宋体"/>
          <w:szCs w:val="28"/>
        </w:rPr>
      </w:pPr>
      <w:r>
        <w:rPr>
          <w:rFonts w:hint="eastAsia" w:ascii="宋体" w:hAnsi="宋体" w:cs="宋体"/>
          <w:szCs w:val="28"/>
        </w:rPr>
        <w:t xml:space="preserve"> 报价一览表  </w:t>
      </w:r>
    </w:p>
    <w:p w14:paraId="7394A46E">
      <w:pPr>
        <w:pStyle w:val="4"/>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14:paraId="1D30A531">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669C051F">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344E2CD6">
            <w:pPr>
              <w:pStyle w:val="15"/>
              <w:numPr>
                <w:ilvl w:val="0"/>
                <w:numId w:val="0"/>
              </w:numPr>
              <w:spacing w:line="360" w:lineRule="auto"/>
              <w:ind w:left="420" w:leftChars="0"/>
              <w:jc w:val="left"/>
              <w:rPr>
                <w:rFonts w:ascii="宋体" w:hAnsi="宋体" w:eastAsia="宋体" w:cs="宋体"/>
                <w:sz w:val="28"/>
                <w:szCs w:val="28"/>
              </w:rPr>
            </w:pPr>
            <w:r>
              <w:rPr>
                <w:rFonts w:hint="eastAsia" w:ascii="宋体" w:hAnsi="宋体" w:eastAsia="宋体" w:cs="宋体"/>
                <w:sz w:val="28"/>
                <w:szCs w:val="28"/>
              </w:rPr>
              <w:t>广东生态工程职业学院林业工程学院智慧林业虚拟仿真实训室</w:t>
            </w:r>
            <w:r>
              <w:rPr>
                <w:rFonts w:hint="eastAsia" w:ascii="宋体" w:hAnsi="宋体" w:eastAsia="宋体" w:cs="宋体"/>
                <w:sz w:val="28"/>
                <w:szCs w:val="28"/>
                <w:lang w:val="en-US" w:eastAsia="zh-CN"/>
              </w:rPr>
              <w:t>设备采购项目</w:t>
            </w:r>
          </w:p>
        </w:tc>
      </w:tr>
      <w:tr w14:paraId="185C2ED1">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0009419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3A3522D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1FCDFE97">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F5571AA">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2918AD19">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666D5F42">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3128B72B">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A0E5D8">
            <w:pPr>
              <w:autoSpaceDE w:val="0"/>
              <w:autoSpaceDN w:val="0"/>
              <w:adjustRightInd w:val="0"/>
              <w:spacing w:line="480" w:lineRule="exact"/>
              <w:jc w:val="center"/>
              <w:rPr>
                <w:rFonts w:ascii="宋体" w:hAnsi="宋体"/>
                <w:sz w:val="24"/>
              </w:rPr>
            </w:pPr>
          </w:p>
        </w:tc>
      </w:tr>
    </w:tbl>
    <w:p w14:paraId="553060A8">
      <w:pPr>
        <w:pStyle w:val="6"/>
        <w:spacing w:line="480" w:lineRule="exact"/>
        <w:ind w:firstLine="100" w:firstLineChars="50"/>
        <w:rPr>
          <w:rFonts w:hAnsi="宋体"/>
        </w:rPr>
      </w:pPr>
      <w:r>
        <w:rPr>
          <w:rFonts w:hint="eastAsia" w:hAnsi="宋体"/>
        </w:rPr>
        <w:t>注：</w:t>
      </w:r>
    </w:p>
    <w:p w14:paraId="12F84CCD">
      <w:pPr>
        <w:pStyle w:val="6"/>
        <w:numPr>
          <w:ilvl w:val="0"/>
          <w:numId w:val="7"/>
        </w:numPr>
        <w:spacing w:line="0" w:lineRule="atLeast"/>
        <w:rPr>
          <w:rFonts w:hAnsi="宋体"/>
        </w:rPr>
      </w:pPr>
      <w:r>
        <w:rPr>
          <w:rFonts w:hint="eastAsia" w:hAnsi="宋体"/>
        </w:rPr>
        <w:t>本表报价包含完成本项目应预见和不可预见的一切含税费用。</w:t>
      </w:r>
    </w:p>
    <w:p w14:paraId="4BEACC0C">
      <w:pPr>
        <w:pStyle w:val="6"/>
        <w:numPr>
          <w:ilvl w:val="0"/>
          <w:numId w:val="7"/>
        </w:numPr>
        <w:spacing w:line="0" w:lineRule="atLeast"/>
        <w:rPr>
          <w:rFonts w:hAnsi="宋体"/>
        </w:rPr>
      </w:pPr>
      <w:r>
        <w:rPr>
          <w:rFonts w:hint="eastAsia"/>
        </w:rPr>
        <w:t>填写此表时不得改变表格的形式。</w:t>
      </w:r>
    </w:p>
    <w:p w14:paraId="70BBA3AF">
      <w:pPr>
        <w:pStyle w:val="6"/>
        <w:numPr>
          <w:ilvl w:val="0"/>
          <w:numId w:val="7"/>
        </w:numPr>
        <w:spacing w:line="0" w:lineRule="atLeast"/>
        <w:rPr>
          <w:rFonts w:hAnsi="宋体"/>
        </w:rPr>
      </w:pPr>
      <w:r>
        <w:rPr>
          <w:rFonts w:hint="eastAsia"/>
        </w:rPr>
        <w:t>以上表中内容必须计算机录入、填写、打印。手写按无效报价处理。</w:t>
      </w:r>
    </w:p>
    <w:p w14:paraId="646FDD24">
      <w:pPr>
        <w:pStyle w:val="6"/>
        <w:numPr>
          <w:ilvl w:val="0"/>
          <w:numId w:val="7"/>
        </w:numPr>
        <w:spacing w:line="0" w:lineRule="atLeast"/>
      </w:pPr>
      <w:r>
        <w:rPr>
          <w:rFonts w:hint="eastAsia"/>
        </w:rPr>
        <w:t>必须满足服务内容、质保期等服务要求。</w:t>
      </w:r>
    </w:p>
    <w:p w14:paraId="5CA84297">
      <w:pPr>
        <w:pStyle w:val="6"/>
        <w:spacing w:line="0" w:lineRule="atLeast"/>
        <w:ind w:left="336"/>
        <w:rPr>
          <w:rFonts w:hAnsi="宋体"/>
          <w:color w:val="FF0000"/>
        </w:rPr>
      </w:pPr>
    </w:p>
    <w:p w14:paraId="38D32BF6"/>
    <w:p w14:paraId="185D4163"/>
    <w:p w14:paraId="521FB849">
      <w:pPr>
        <w:spacing w:line="480" w:lineRule="exact"/>
        <w:ind w:left="4599" w:leftChars="2190" w:firstLine="240" w:firstLineChars="100"/>
        <w:rPr>
          <w:rFonts w:ascii="宋体" w:hAnsi="宋体" w:cs="宋体"/>
          <w:sz w:val="24"/>
        </w:rPr>
      </w:pPr>
    </w:p>
    <w:p w14:paraId="1217FABA">
      <w:pPr>
        <w:spacing w:line="480" w:lineRule="exact"/>
        <w:ind w:firstLine="4560" w:firstLineChars="1900"/>
        <w:rPr>
          <w:rFonts w:ascii="宋体" w:hAnsi="宋体" w:cs="宋体"/>
          <w:sz w:val="24"/>
        </w:rPr>
      </w:pPr>
      <w:r>
        <w:rPr>
          <w:rFonts w:hint="eastAsia" w:ascii="宋体" w:hAnsi="宋体" w:cs="宋体"/>
          <w:sz w:val="24"/>
        </w:rPr>
        <w:t>投标人（公章）：</w:t>
      </w:r>
    </w:p>
    <w:p w14:paraId="0A52250C">
      <w:pPr>
        <w:spacing w:line="480" w:lineRule="exact"/>
        <w:ind w:firstLine="4560" w:firstLineChars="1900"/>
        <w:rPr>
          <w:rFonts w:ascii="宋体" w:hAnsi="宋体" w:cs="宋体"/>
          <w:sz w:val="24"/>
        </w:rPr>
      </w:pPr>
      <w:r>
        <w:rPr>
          <w:rFonts w:hint="eastAsia" w:ascii="宋体" w:hAnsi="宋体" w:cs="宋体"/>
          <w:sz w:val="24"/>
        </w:rPr>
        <w:t>投标人地址：</w:t>
      </w:r>
    </w:p>
    <w:p w14:paraId="58685578">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6B5DF8A2">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59A28339">
      <w:pPr>
        <w:spacing w:line="480" w:lineRule="exact"/>
        <w:ind w:firstLine="4560" w:firstLineChars="1900"/>
        <w:rPr>
          <w:rFonts w:ascii="宋体" w:hAnsi="宋体" w:cs="宋体"/>
          <w:sz w:val="24"/>
        </w:rPr>
      </w:pPr>
      <w:r>
        <w:rPr>
          <w:rFonts w:hint="eastAsia" w:ascii="宋体" w:hAnsi="宋体" w:cs="宋体"/>
          <w:sz w:val="24"/>
        </w:rPr>
        <w:t>联系电话：</w:t>
      </w:r>
    </w:p>
    <w:p w14:paraId="22C206DC">
      <w:pPr>
        <w:spacing w:line="480" w:lineRule="exact"/>
        <w:ind w:firstLine="4560" w:firstLineChars="1900"/>
        <w:rPr>
          <w:rFonts w:ascii="宋体" w:hAnsi="宋体" w:cs="宋体"/>
          <w:sz w:val="24"/>
        </w:rPr>
      </w:pPr>
      <w:r>
        <w:rPr>
          <w:rFonts w:hint="eastAsia" w:ascii="宋体" w:hAnsi="宋体" w:cs="宋体"/>
          <w:sz w:val="24"/>
        </w:rPr>
        <w:t>日    期：</w:t>
      </w:r>
    </w:p>
    <w:p w14:paraId="2B5E4865">
      <w:pPr>
        <w:rPr>
          <w:rFonts w:ascii="宋体" w:hAnsi="宋体" w:cs="宋体"/>
          <w:sz w:val="24"/>
        </w:rPr>
      </w:pPr>
    </w:p>
    <w:p w14:paraId="770BB7FE">
      <w:pPr>
        <w:rPr>
          <w:rFonts w:ascii="宋体" w:hAnsi="宋体" w:cs="宋体"/>
          <w:sz w:val="24"/>
        </w:rPr>
      </w:pPr>
    </w:p>
    <w:p w14:paraId="0797B69A">
      <w:pPr>
        <w:pStyle w:val="9"/>
      </w:pPr>
    </w:p>
    <w:p w14:paraId="2859A1DC">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70927B2A">
      <w:pPr>
        <w:rPr>
          <w:rFonts w:ascii="宋体" w:hAnsi="宋体" w:cs="宋体"/>
          <w:b/>
          <w:sz w:val="24"/>
        </w:rPr>
      </w:pPr>
      <w:r>
        <w:rPr>
          <w:rFonts w:hint="eastAsia" w:ascii="宋体" w:hAnsi="宋体" w:cs="宋体"/>
          <w:b/>
          <w:sz w:val="24"/>
        </w:rPr>
        <w:br w:type="page"/>
      </w:r>
      <w:r>
        <w:rPr>
          <w:rFonts w:hint="eastAsia" w:ascii="宋体" w:hAnsi="宋体" w:cs="宋体"/>
          <w:b/>
          <w:sz w:val="24"/>
        </w:rPr>
        <w:t>附件2</w:t>
      </w:r>
    </w:p>
    <w:p w14:paraId="0C698E1B">
      <w:pPr>
        <w:spacing w:line="560" w:lineRule="exact"/>
        <w:jc w:val="center"/>
        <w:rPr>
          <w:rFonts w:ascii="宋体" w:hAnsi="宋体"/>
          <w:b/>
          <w:sz w:val="28"/>
          <w:szCs w:val="28"/>
        </w:rPr>
      </w:pPr>
      <w:r>
        <w:rPr>
          <w:rFonts w:hint="eastAsia" w:ascii="宋体" w:hAnsi="宋体"/>
          <w:b/>
          <w:sz w:val="28"/>
          <w:szCs w:val="28"/>
        </w:rPr>
        <w:t xml:space="preserve">报价明细表    </w:t>
      </w:r>
    </w:p>
    <w:p w14:paraId="2B76EA70">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54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1079"/>
        <w:gridCol w:w="4817"/>
        <w:gridCol w:w="535"/>
        <w:gridCol w:w="602"/>
        <w:gridCol w:w="911"/>
      </w:tblGrid>
      <w:tr w14:paraId="73D2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01" w:type="pct"/>
            <w:tcBorders>
              <w:top w:val="single" w:color="auto" w:sz="4" w:space="0"/>
              <w:left w:val="single" w:color="auto" w:sz="4" w:space="0"/>
              <w:bottom w:val="single" w:color="auto" w:sz="4" w:space="0"/>
              <w:right w:val="single" w:color="auto" w:sz="4" w:space="0"/>
            </w:tcBorders>
            <w:vAlign w:val="center"/>
          </w:tcPr>
          <w:p w14:paraId="39F25EB2">
            <w:pPr>
              <w:keepNext w:val="0"/>
              <w:keepLines w:val="0"/>
              <w:pageBreakBefore w:val="0"/>
              <w:kinsoku/>
              <w:wordWrap/>
              <w:overflowPunct/>
              <w:topLinePunct w:val="0"/>
              <w:autoSpaceDE/>
              <w:autoSpaceDN/>
              <w:bidi w:val="0"/>
              <w:adjustRightInd/>
              <w:snapToGrid/>
              <w:spacing w:line="240" w:lineRule="auto"/>
              <w:jc w:val="center"/>
              <w:textAlignment w:val="auto"/>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设备名称</w:t>
            </w:r>
          </w:p>
        </w:tc>
        <w:tc>
          <w:tcPr>
            <w:tcW w:w="3190" w:type="pct"/>
            <w:gridSpan w:val="2"/>
            <w:tcBorders>
              <w:top w:val="single" w:color="auto" w:sz="4" w:space="0"/>
              <w:left w:val="single" w:color="auto" w:sz="4" w:space="0"/>
              <w:bottom w:val="single" w:color="auto" w:sz="4" w:space="0"/>
              <w:right w:val="single" w:color="auto" w:sz="4" w:space="0"/>
            </w:tcBorders>
            <w:vAlign w:val="center"/>
          </w:tcPr>
          <w:p w14:paraId="2BBA0FAB">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b/>
                <w:bCs/>
              </w:rPr>
            </w:pPr>
            <w:r>
              <w:rPr>
                <w:rFonts w:hint="eastAsia" w:asciiTheme="minorEastAsia" w:hAnsiTheme="minorEastAsia" w:eastAsiaTheme="minorEastAsia" w:cstheme="minorEastAsia"/>
                <w:b/>
                <w:bCs/>
              </w:rPr>
              <w:t>技术参数和规格</w:t>
            </w:r>
          </w:p>
        </w:tc>
        <w:tc>
          <w:tcPr>
            <w:tcW w:w="289" w:type="pct"/>
            <w:tcBorders>
              <w:top w:val="single" w:color="auto" w:sz="4" w:space="0"/>
              <w:left w:val="single" w:color="auto" w:sz="4" w:space="0"/>
              <w:bottom w:val="single" w:color="auto" w:sz="4" w:space="0"/>
              <w:right w:val="single" w:color="auto" w:sz="4" w:space="0"/>
            </w:tcBorders>
            <w:vAlign w:val="center"/>
          </w:tcPr>
          <w:p w14:paraId="6C4DE41C">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b/>
                <w:bCs/>
              </w:rPr>
            </w:pPr>
            <w:r>
              <w:rPr>
                <w:rFonts w:hint="eastAsia" w:asciiTheme="minorEastAsia" w:hAnsiTheme="minorEastAsia" w:eastAsiaTheme="minorEastAsia" w:cstheme="minorEastAsia"/>
                <w:b/>
                <w:bCs/>
              </w:rPr>
              <w:t>数量</w:t>
            </w:r>
          </w:p>
        </w:tc>
        <w:tc>
          <w:tcPr>
            <w:tcW w:w="325" w:type="pct"/>
            <w:tcBorders>
              <w:top w:val="single" w:color="auto" w:sz="4" w:space="0"/>
              <w:left w:val="single" w:color="auto" w:sz="4" w:space="0"/>
              <w:bottom w:val="single" w:color="auto" w:sz="4" w:space="0"/>
              <w:right w:val="single" w:color="auto" w:sz="4" w:space="0"/>
            </w:tcBorders>
            <w:vAlign w:val="center"/>
          </w:tcPr>
          <w:p w14:paraId="4EDF9744">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rPr>
              <w:t>单</w:t>
            </w:r>
            <w:r>
              <w:rPr>
                <w:rFonts w:hint="eastAsia" w:asciiTheme="minorEastAsia" w:hAnsiTheme="minorEastAsia" w:eastAsiaTheme="minorEastAsia" w:cstheme="minorEastAsia"/>
                <w:b/>
                <w:bCs/>
                <w:lang w:val="en-US" w:eastAsia="zh-CN"/>
              </w:rPr>
              <w:t>价</w:t>
            </w:r>
          </w:p>
        </w:tc>
        <w:tc>
          <w:tcPr>
            <w:tcW w:w="492" w:type="pct"/>
            <w:tcBorders>
              <w:top w:val="single" w:color="auto" w:sz="4" w:space="0"/>
              <w:left w:val="single" w:color="auto" w:sz="4" w:space="0"/>
              <w:bottom w:val="single" w:color="auto" w:sz="4" w:space="0"/>
              <w:right w:val="single" w:color="auto" w:sz="4" w:space="0"/>
            </w:tcBorders>
            <w:vAlign w:val="center"/>
          </w:tcPr>
          <w:p w14:paraId="4D717D22">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rPr>
            </w:pPr>
            <w:r>
              <w:rPr>
                <w:rFonts w:hint="eastAsia" w:ascii="宋体" w:hAnsi="宋体" w:eastAsia="宋体" w:cs="宋体"/>
                <w:b/>
                <w:bCs/>
                <w:color w:val="000000"/>
                <w:kern w:val="0"/>
                <w:sz w:val="18"/>
                <w:szCs w:val="18"/>
              </w:rPr>
              <w:t>总价</w:t>
            </w:r>
          </w:p>
        </w:tc>
      </w:tr>
      <w:tr w14:paraId="748D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01" w:type="pct"/>
            <w:vMerge w:val="restart"/>
            <w:tcBorders>
              <w:top w:val="single" w:color="auto" w:sz="4" w:space="0"/>
              <w:left w:val="single" w:color="auto" w:sz="4" w:space="0"/>
              <w:right w:val="single" w:color="auto" w:sz="4" w:space="0"/>
            </w:tcBorders>
            <w:vAlign w:val="center"/>
          </w:tcPr>
          <w:p w14:paraId="5CB2B50C">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图形工作站</w:t>
            </w:r>
            <w:r>
              <w:rPr>
                <w:rFonts w:hint="eastAsia" w:asciiTheme="minorEastAsia" w:hAnsiTheme="minorEastAsia" w:eastAsiaTheme="minorEastAsia" w:cstheme="minorEastAsia"/>
                <w:sz w:val="24"/>
                <w:szCs w:val="24"/>
              </w:rPr>
              <w:t>戴尔</w:t>
            </w:r>
            <w:r>
              <w:rPr>
                <w:rFonts w:hint="eastAsia" w:asciiTheme="minorEastAsia" w:hAnsiTheme="minorEastAsia" w:eastAsiaTheme="minorEastAsia" w:cstheme="minorEastAsia"/>
                <w:sz w:val="24"/>
                <w:szCs w:val="24"/>
                <w:lang w:val="en-US" w:eastAsia="zh-CN"/>
              </w:rPr>
              <w:t>Precision</w:t>
            </w:r>
            <w:r>
              <w:rPr>
                <w:rFonts w:hint="eastAsia" w:ascii="Arial" w:hAnsi="Arial" w:cs="Arial"/>
                <w:b/>
                <w:bCs/>
                <w:i w:val="0"/>
                <w:iCs w:val="0"/>
                <w:caps w:val="0"/>
                <w:color w:val="666666"/>
                <w:spacing w:val="0"/>
                <w:sz w:val="16"/>
                <w:szCs w:val="16"/>
                <w:shd w:val="clear" w:fill="FFFFFF"/>
                <w:lang w:val="en-US" w:eastAsia="zh-CN"/>
              </w:rPr>
              <w:t xml:space="preserve"> </w:t>
            </w:r>
            <w:r>
              <w:rPr>
                <w:rFonts w:hint="eastAsia" w:asciiTheme="minorEastAsia" w:hAnsiTheme="minorEastAsia" w:eastAsiaTheme="minorEastAsia" w:cstheme="minorEastAsia"/>
                <w:sz w:val="24"/>
                <w:szCs w:val="24"/>
                <w:lang w:eastAsia="zh-CN"/>
              </w:rPr>
              <w:t>3660</w:t>
            </w:r>
          </w:p>
        </w:tc>
        <w:tc>
          <w:tcPr>
            <w:tcW w:w="583" w:type="pct"/>
            <w:tcBorders>
              <w:top w:val="single" w:color="auto" w:sz="4" w:space="0"/>
              <w:left w:val="single" w:color="auto" w:sz="4" w:space="0"/>
              <w:bottom w:val="single" w:color="auto" w:sz="4" w:space="0"/>
              <w:right w:val="single" w:color="auto" w:sz="4" w:space="0"/>
            </w:tcBorders>
            <w:vAlign w:val="center"/>
          </w:tcPr>
          <w:p w14:paraId="5B86F11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操作系统</w:t>
            </w:r>
          </w:p>
        </w:tc>
        <w:tc>
          <w:tcPr>
            <w:tcW w:w="2606" w:type="pct"/>
            <w:tcBorders>
              <w:top w:val="single" w:color="auto" w:sz="4" w:space="0"/>
              <w:left w:val="single" w:color="auto" w:sz="4" w:space="0"/>
              <w:bottom w:val="single" w:color="auto" w:sz="4" w:space="0"/>
              <w:right w:val="single" w:color="auto" w:sz="4" w:space="0"/>
            </w:tcBorders>
            <w:vAlign w:val="center"/>
          </w:tcPr>
          <w:p w14:paraId="5C6AD243">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Windows 11 </w:t>
            </w:r>
            <w:r>
              <w:rPr>
                <w:rFonts w:hint="eastAsia" w:asciiTheme="minorEastAsia" w:hAnsiTheme="minorEastAsia" w:eastAsiaTheme="minorEastAsia" w:cstheme="minorEastAsia"/>
                <w:sz w:val="24"/>
                <w:szCs w:val="24"/>
                <w:lang w:eastAsia="zh-CN"/>
              </w:rPr>
              <w:t>专业版</w:t>
            </w:r>
            <w:r>
              <w:rPr>
                <w:rFonts w:hint="eastAsia" w:asciiTheme="minorEastAsia" w:hAnsiTheme="minorEastAsia" w:eastAsiaTheme="minorEastAsia" w:cstheme="minorEastAsia"/>
                <w:sz w:val="24"/>
                <w:szCs w:val="24"/>
              </w:rPr>
              <w:t>，单语言版 简体中文</w:t>
            </w:r>
          </w:p>
        </w:tc>
        <w:tc>
          <w:tcPr>
            <w:tcW w:w="289" w:type="pct"/>
            <w:vMerge w:val="restart"/>
            <w:tcBorders>
              <w:top w:val="single" w:color="auto" w:sz="4" w:space="0"/>
              <w:left w:val="single" w:color="auto" w:sz="4" w:space="0"/>
              <w:right w:val="single" w:color="auto" w:sz="4" w:space="0"/>
            </w:tcBorders>
            <w:vAlign w:val="center"/>
          </w:tcPr>
          <w:p w14:paraId="49183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6</w:t>
            </w:r>
          </w:p>
        </w:tc>
        <w:tc>
          <w:tcPr>
            <w:tcW w:w="325" w:type="pct"/>
            <w:vMerge w:val="restart"/>
            <w:tcBorders>
              <w:top w:val="single" w:color="auto" w:sz="4" w:space="0"/>
              <w:left w:val="single" w:color="auto" w:sz="4" w:space="0"/>
              <w:right w:val="single" w:color="auto" w:sz="4" w:space="0"/>
            </w:tcBorders>
            <w:vAlign w:val="center"/>
          </w:tcPr>
          <w:p w14:paraId="128C9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restart"/>
            <w:tcBorders>
              <w:top w:val="single" w:color="auto" w:sz="4" w:space="0"/>
              <w:left w:val="single" w:color="auto" w:sz="4" w:space="0"/>
              <w:right w:val="single" w:color="auto" w:sz="4" w:space="0"/>
            </w:tcBorders>
            <w:vAlign w:val="center"/>
          </w:tcPr>
          <w:p w14:paraId="02C30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24"/>
                <w:szCs w:val="24"/>
              </w:rPr>
            </w:pPr>
          </w:p>
        </w:tc>
      </w:tr>
      <w:tr w14:paraId="383E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01" w:type="pct"/>
            <w:vMerge w:val="continue"/>
            <w:tcBorders>
              <w:left w:val="single" w:color="auto" w:sz="4" w:space="0"/>
              <w:right w:val="single" w:color="auto" w:sz="4" w:space="0"/>
            </w:tcBorders>
            <w:vAlign w:val="center"/>
          </w:tcPr>
          <w:p w14:paraId="1515D504">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11004C9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处理器</w:t>
            </w:r>
          </w:p>
        </w:tc>
        <w:tc>
          <w:tcPr>
            <w:tcW w:w="2606" w:type="pct"/>
            <w:tcBorders>
              <w:top w:val="single" w:color="auto" w:sz="4" w:space="0"/>
              <w:left w:val="single" w:color="auto" w:sz="4" w:space="0"/>
              <w:bottom w:val="single" w:color="auto" w:sz="4" w:space="0"/>
              <w:right w:val="single" w:color="auto" w:sz="4" w:space="0"/>
            </w:tcBorders>
            <w:vAlign w:val="center"/>
          </w:tcPr>
          <w:p w14:paraId="1F47067A">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相当于酷睿 i7-12700 处理器  12 核， 2.1GHz，20 线程。可支持液冷散热</w:t>
            </w:r>
          </w:p>
        </w:tc>
        <w:tc>
          <w:tcPr>
            <w:tcW w:w="289" w:type="pct"/>
            <w:vMerge w:val="continue"/>
            <w:tcBorders>
              <w:left w:val="single" w:color="auto" w:sz="4" w:space="0"/>
              <w:right w:val="single" w:color="auto" w:sz="4" w:space="0"/>
            </w:tcBorders>
            <w:vAlign w:val="center"/>
          </w:tcPr>
          <w:p w14:paraId="73E262F2">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26C65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355F7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5F222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1EB288CE">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74D559C8">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芯片组</w:t>
            </w:r>
          </w:p>
        </w:tc>
        <w:tc>
          <w:tcPr>
            <w:tcW w:w="2606" w:type="pct"/>
            <w:tcBorders>
              <w:top w:val="single" w:color="auto" w:sz="4" w:space="0"/>
              <w:left w:val="single" w:color="auto" w:sz="4" w:space="0"/>
              <w:bottom w:val="single" w:color="auto" w:sz="4" w:space="0"/>
              <w:right w:val="single" w:color="auto" w:sz="4" w:space="0"/>
            </w:tcBorders>
            <w:vAlign w:val="center"/>
          </w:tcPr>
          <w:p w14:paraId="46DF360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相当于英特尔® W680及以上</w:t>
            </w:r>
          </w:p>
        </w:tc>
        <w:tc>
          <w:tcPr>
            <w:tcW w:w="289" w:type="pct"/>
            <w:vMerge w:val="continue"/>
            <w:tcBorders>
              <w:left w:val="single" w:color="auto" w:sz="4" w:space="0"/>
              <w:right w:val="single" w:color="auto" w:sz="4" w:space="0"/>
            </w:tcBorders>
            <w:vAlign w:val="center"/>
          </w:tcPr>
          <w:p w14:paraId="00E49E7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7D49F8F6">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08ED9A2C">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3D9C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0028E860">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2CC171F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内存</w:t>
            </w:r>
          </w:p>
        </w:tc>
        <w:tc>
          <w:tcPr>
            <w:tcW w:w="2606" w:type="pct"/>
            <w:tcBorders>
              <w:top w:val="single" w:color="auto" w:sz="4" w:space="0"/>
              <w:left w:val="single" w:color="auto" w:sz="4" w:space="0"/>
              <w:bottom w:val="single" w:color="auto" w:sz="4" w:space="0"/>
              <w:right w:val="single" w:color="auto" w:sz="4" w:space="0"/>
            </w:tcBorders>
            <w:vAlign w:val="center"/>
          </w:tcPr>
          <w:p w14:paraId="436F57A7">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不低于32GB，DDR5 高达 4400MHz</w:t>
            </w:r>
          </w:p>
          <w:p w14:paraId="23F704AA">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4个DIMM插槽；</w:t>
            </w:r>
          </w:p>
          <w:p w14:paraId="3B133273">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最高可配128 GB 4400 MHz DDR4 NECC/ECC内存</w:t>
            </w:r>
          </w:p>
        </w:tc>
        <w:tc>
          <w:tcPr>
            <w:tcW w:w="289" w:type="pct"/>
            <w:vMerge w:val="continue"/>
            <w:tcBorders>
              <w:left w:val="single" w:color="auto" w:sz="4" w:space="0"/>
              <w:right w:val="single" w:color="auto" w:sz="4" w:space="0"/>
            </w:tcBorders>
            <w:vAlign w:val="center"/>
          </w:tcPr>
          <w:p w14:paraId="3241B701">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06BD9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1A1D8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64EF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653EDB9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16326DEA">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硬盘</w:t>
            </w:r>
          </w:p>
        </w:tc>
        <w:tc>
          <w:tcPr>
            <w:tcW w:w="2606" w:type="pct"/>
            <w:tcBorders>
              <w:top w:val="single" w:color="auto" w:sz="4" w:space="0"/>
              <w:left w:val="single" w:color="auto" w:sz="4" w:space="0"/>
              <w:bottom w:val="single" w:color="auto" w:sz="4" w:space="0"/>
              <w:right w:val="single" w:color="auto" w:sz="4" w:space="0"/>
            </w:tcBorders>
            <w:vAlign w:val="center"/>
          </w:tcPr>
          <w:p w14:paraId="34B33DEB">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512GB PCIe NVMe Class 40 M.2 固态硬盘+2TB 7200rpm SATA 3.5英寸硬盘</w:t>
            </w:r>
          </w:p>
          <w:p w14:paraId="7AB4F54F">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支持 3 个 M.2 2280 PCIe NVMe SSD，不占用原有PCIE插槽</w:t>
            </w:r>
          </w:p>
          <w:p w14:paraId="039FFF3C">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最大4个2.5 英寸或者3个3.5英寸及以上；</w:t>
            </w:r>
          </w:p>
          <w:p w14:paraId="510FAA0C">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特定存储配置提供可从正面拆卸的 2.5 英寸 SATA 或 3.5 英寸 SATA；</w:t>
            </w:r>
          </w:p>
          <w:p w14:paraId="4958094D">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HDD（带可上锁盖板和钥匙）；</w:t>
            </w:r>
          </w:p>
          <w:p w14:paraId="193EF002">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支持前置面板硬盘热插拔；</w:t>
            </w:r>
          </w:p>
          <w:p w14:paraId="6BE4464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支持英特尔® 就绪模式™ 技术；</w:t>
            </w:r>
          </w:p>
          <w:p w14:paraId="76B52B45">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主动散热式超高速驱动器上最多可支持 1 个附加 PCIe SS</w:t>
            </w:r>
          </w:p>
        </w:tc>
        <w:tc>
          <w:tcPr>
            <w:tcW w:w="289" w:type="pct"/>
            <w:vMerge w:val="continue"/>
            <w:tcBorders>
              <w:left w:val="single" w:color="auto" w:sz="4" w:space="0"/>
              <w:right w:val="single" w:color="auto" w:sz="4" w:space="0"/>
            </w:tcBorders>
            <w:vAlign w:val="center"/>
          </w:tcPr>
          <w:p w14:paraId="12E7929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2B78F2BF">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40866429">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7619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08ADFB9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5C39B14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Raid</w:t>
            </w:r>
          </w:p>
        </w:tc>
        <w:tc>
          <w:tcPr>
            <w:tcW w:w="2606" w:type="pct"/>
            <w:tcBorders>
              <w:top w:val="single" w:color="auto" w:sz="4" w:space="0"/>
              <w:left w:val="single" w:color="auto" w:sz="4" w:space="0"/>
              <w:bottom w:val="single" w:color="auto" w:sz="4" w:space="0"/>
              <w:right w:val="single" w:color="auto" w:sz="4" w:space="0"/>
            </w:tcBorders>
            <w:vAlign w:val="center"/>
          </w:tcPr>
          <w:p w14:paraId="6E5FAF08">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英特尔快速存储技术和基于主机的RAID 0/1/5/10</w:t>
            </w:r>
          </w:p>
        </w:tc>
        <w:tc>
          <w:tcPr>
            <w:tcW w:w="289" w:type="pct"/>
            <w:vMerge w:val="continue"/>
            <w:tcBorders>
              <w:left w:val="single" w:color="auto" w:sz="4" w:space="0"/>
              <w:right w:val="single" w:color="auto" w:sz="4" w:space="0"/>
            </w:tcBorders>
            <w:vAlign w:val="center"/>
          </w:tcPr>
          <w:p w14:paraId="35C624D3">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p>
        </w:tc>
        <w:tc>
          <w:tcPr>
            <w:tcW w:w="325" w:type="pct"/>
            <w:vMerge w:val="continue"/>
            <w:tcBorders>
              <w:left w:val="single" w:color="auto" w:sz="4" w:space="0"/>
              <w:right w:val="single" w:color="auto" w:sz="4" w:space="0"/>
            </w:tcBorders>
            <w:vAlign w:val="center"/>
          </w:tcPr>
          <w:p w14:paraId="2C4AA6AA">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c>
          <w:tcPr>
            <w:tcW w:w="492" w:type="pct"/>
            <w:vMerge w:val="continue"/>
            <w:tcBorders>
              <w:left w:val="single" w:color="auto" w:sz="4" w:space="0"/>
              <w:right w:val="single" w:color="auto" w:sz="4" w:space="0"/>
            </w:tcBorders>
            <w:vAlign w:val="center"/>
          </w:tcPr>
          <w:p w14:paraId="441FF5F7">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r>
      <w:tr w14:paraId="0F4E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197185E9">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254AF74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存储设备</w:t>
            </w:r>
          </w:p>
        </w:tc>
        <w:tc>
          <w:tcPr>
            <w:tcW w:w="2606" w:type="pct"/>
            <w:tcBorders>
              <w:top w:val="single" w:color="auto" w:sz="4" w:space="0"/>
              <w:left w:val="single" w:color="auto" w:sz="4" w:space="0"/>
              <w:bottom w:val="single" w:color="auto" w:sz="4" w:space="0"/>
              <w:right w:val="single" w:color="auto" w:sz="4" w:space="0"/>
            </w:tcBorders>
            <w:vAlign w:val="center"/>
          </w:tcPr>
          <w:p w14:paraId="04E905F6">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无光驱，支持光驱位安装3.5寸硬盘位切换</w:t>
            </w:r>
          </w:p>
        </w:tc>
        <w:tc>
          <w:tcPr>
            <w:tcW w:w="289" w:type="pct"/>
            <w:vMerge w:val="continue"/>
            <w:tcBorders>
              <w:left w:val="single" w:color="auto" w:sz="4" w:space="0"/>
              <w:right w:val="single" w:color="auto" w:sz="4" w:space="0"/>
            </w:tcBorders>
            <w:vAlign w:val="center"/>
          </w:tcPr>
          <w:p w14:paraId="490511C9">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187FA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13B81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2A92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701" w:type="pct"/>
            <w:vMerge w:val="continue"/>
            <w:tcBorders>
              <w:left w:val="single" w:color="auto" w:sz="4" w:space="0"/>
              <w:right w:val="single" w:color="auto" w:sz="4" w:space="0"/>
            </w:tcBorders>
            <w:vAlign w:val="center"/>
          </w:tcPr>
          <w:p w14:paraId="0DEA237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lang w:val="zh-CN"/>
              </w:rPr>
            </w:pPr>
          </w:p>
        </w:tc>
        <w:tc>
          <w:tcPr>
            <w:tcW w:w="583" w:type="pct"/>
            <w:tcBorders>
              <w:top w:val="single" w:color="auto" w:sz="4" w:space="0"/>
              <w:left w:val="single" w:color="auto" w:sz="4" w:space="0"/>
              <w:bottom w:val="single" w:color="auto" w:sz="4" w:space="0"/>
              <w:right w:val="single" w:color="auto" w:sz="4" w:space="0"/>
            </w:tcBorders>
            <w:vAlign w:val="center"/>
          </w:tcPr>
          <w:p w14:paraId="6300F21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显卡</w:t>
            </w:r>
          </w:p>
        </w:tc>
        <w:tc>
          <w:tcPr>
            <w:tcW w:w="2606" w:type="pct"/>
            <w:tcBorders>
              <w:top w:val="single" w:color="auto" w:sz="4" w:space="0"/>
              <w:left w:val="single" w:color="auto" w:sz="4" w:space="0"/>
              <w:bottom w:val="single" w:color="auto" w:sz="4" w:space="0"/>
              <w:right w:val="single" w:color="auto" w:sz="4" w:space="0"/>
            </w:tcBorders>
            <w:vAlign w:val="center"/>
          </w:tcPr>
          <w:p w14:paraId="1BDEFC0E">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不低于NVIDIA T1000 8G GDDR6 显卡</w:t>
            </w:r>
          </w:p>
        </w:tc>
        <w:tc>
          <w:tcPr>
            <w:tcW w:w="289" w:type="pct"/>
            <w:vMerge w:val="continue"/>
            <w:tcBorders>
              <w:left w:val="single" w:color="auto" w:sz="4" w:space="0"/>
              <w:right w:val="single" w:color="auto" w:sz="4" w:space="0"/>
            </w:tcBorders>
            <w:vAlign w:val="center"/>
          </w:tcPr>
          <w:p w14:paraId="28AE72EB">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p>
        </w:tc>
        <w:tc>
          <w:tcPr>
            <w:tcW w:w="325" w:type="pct"/>
            <w:vMerge w:val="continue"/>
            <w:tcBorders>
              <w:left w:val="single" w:color="auto" w:sz="4" w:space="0"/>
              <w:right w:val="single" w:color="auto" w:sz="4" w:space="0"/>
            </w:tcBorders>
            <w:vAlign w:val="center"/>
          </w:tcPr>
          <w:p w14:paraId="62DC5D15">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c>
          <w:tcPr>
            <w:tcW w:w="492" w:type="pct"/>
            <w:vMerge w:val="continue"/>
            <w:tcBorders>
              <w:left w:val="single" w:color="auto" w:sz="4" w:space="0"/>
              <w:right w:val="single" w:color="auto" w:sz="4" w:space="0"/>
            </w:tcBorders>
            <w:vAlign w:val="center"/>
          </w:tcPr>
          <w:p w14:paraId="1F36B5DD">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r>
      <w:tr w14:paraId="1985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570388B9">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647A9C08">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音频</w:t>
            </w:r>
          </w:p>
        </w:tc>
        <w:tc>
          <w:tcPr>
            <w:tcW w:w="2606" w:type="pct"/>
            <w:tcBorders>
              <w:top w:val="single" w:color="auto" w:sz="4" w:space="0"/>
              <w:left w:val="single" w:color="auto" w:sz="4" w:space="0"/>
              <w:bottom w:val="single" w:color="auto" w:sz="4" w:space="0"/>
              <w:right w:val="single" w:color="auto" w:sz="4" w:space="0"/>
            </w:tcBorders>
            <w:vAlign w:val="center"/>
          </w:tcPr>
          <w:p w14:paraId="659347A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集成Realtek 音频控制器</w:t>
            </w:r>
          </w:p>
        </w:tc>
        <w:tc>
          <w:tcPr>
            <w:tcW w:w="289" w:type="pct"/>
            <w:vMerge w:val="continue"/>
            <w:tcBorders>
              <w:left w:val="single" w:color="auto" w:sz="4" w:space="0"/>
              <w:right w:val="single" w:color="auto" w:sz="4" w:space="0"/>
            </w:tcBorders>
            <w:vAlign w:val="center"/>
          </w:tcPr>
          <w:p w14:paraId="0370A41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18659D67">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036195F4">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0FCDE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0C33E1D8">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32F758E9">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网络</w:t>
            </w:r>
          </w:p>
        </w:tc>
        <w:tc>
          <w:tcPr>
            <w:tcW w:w="2606" w:type="pct"/>
            <w:tcBorders>
              <w:top w:val="single" w:color="auto" w:sz="4" w:space="0"/>
              <w:left w:val="single" w:color="auto" w:sz="4" w:space="0"/>
              <w:bottom w:val="single" w:color="auto" w:sz="4" w:space="0"/>
              <w:right w:val="single" w:color="auto" w:sz="4" w:space="0"/>
            </w:tcBorders>
            <w:vAlign w:val="center"/>
          </w:tcPr>
          <w:p w14:paraId="32794C3E">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集成：英特尔以太网连接I219-LM 10/100/1000 </w:t>
            </w:r>
          </w:p>
        </w:tc>
        <w:tc>
          <w:tcPr>
            <w:tcW w:w="289" w:type="pct"/>
            <w:vMerge w:val="continue"/>
            <w:tcBorders>
              <w:left w:val="single" w:color="auto" w:sz="4" w:space="0"/>
              <w:right w:val="single" w:color="auto" w:sz="4" w:space="0"/>
            </w:tcBorders>
            <w:vAlign w:val="center"/>
          </w:tcPr>
          <w:p w14:paraId="394F713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3B0F3627">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5AAC63F6">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13C4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048305F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2408CC3A">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端口</w:t>
            </w:r>
          </w:p>
        </w:tc>
        <w:tc>
          <w:tcPr>
            <w:tcW w:w="2606" w:type="pct"/>
            <w:tcBorders>
              <w:top w:val="single" w:color="auto" w:sz="4" w:space="0"/>
              <w:left w:val="single" w:color="auto" w:sz="4" w:space="0"/>
              <w:bottom w:val="single" w:color="auto" w:sz="4" w:space="0"/>
              <w:right w:val="single" w:color="auto" w:sz="4" w:space="0"/>
            </w:tcBorders>
            <w:vAlign w:val="center"/>
          </w:tcPr>
          <w:p w14:paraId="51CFBE5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1.光驱（可选）</w:t>
            </w:r>
          </w:p>
          <w:p w14:paraId="144AAAC9">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2.电源按钮</w:t>
            </w:r>
          </w:p>
          <w:p w14:paraId="4CE30A2D">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3.音频麦克风组合（3.5 毫米）插孔</w:t>
            </w:r>
          </w:p>
          <w:p w14:paraId="48151CE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 个）USB 3.2 Type-A 第 1 代端口 (5 Gbps)</w:t>
            </w:r>
          </w:p>
          <w:p w14:paraId="74C7B76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5.USB 3.2 Type-C 第 2 代端口 (10 Gbps)，仅限数据传输</w:t>
            </w:r>
          </w:p>
          <w:p w14:paraId="706458BA">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6.USB 3.2 Type-C 第 2x2 代端口 (20 Gbps)，仅限数据传输</w:t>
            </w:r>
          </w:p>
          <w:p w14:paraId="33BF1D10">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7.SD 卡读卡器 4.0 插槽</w:t>
            </w:r>
          </w:p>
          <w:p w14:paraId="73F10934">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8.音频输出（3.5 毫米插孔）</w:t>
            </w:r>
          </w:p>
          <w:p w14:paraId="10BD9BD2">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 个）DP1.4++ HBR2</w:t>
            </w:r>
          </w:p>
          <w:p w14:paraId="15DD2340">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 个）USB 3.2 Type-C 第 2 代端口 (10 Gbps)，支持供电传输</w:t>
            </w:r>
          </w:p>
          <w:p w14:paraId="609FEEDA">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 个）USB 3.2 Type-A 第 2 代端口 (10 Gbps)</w:t>
            </w:r>
          </w:p>
          <w:p w14:paraId="30A35F6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 个）USB 2.0 Type-A 端口</w:t>
            </w:r>
          </w:p>
          <w:p w14:paraId="6C915D9D">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13.RJ45 i219 LAN (1 G)-可选的</w:t>
            </w:r>
          </w:p>
          <w:p w14:paraId="0A6F4588">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14.电源接口</w:t>
            </w:r>
          </w:p>
          <w:p w14:paraId="6582664E">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15.LED 指示灯</w:t>
            </w:r>
          </w:p>
        </w:tc>
        <w:tc>
          <w:tcPr>
            <w:tcW w:w="289" w:type="pct"/>
            <w:vMerge w:val="continue"/>
            <w:tcBorders>
              <w:left w:val="single" w:color="auto" w:sz="4" w:space="0"/>
              <w:right w:val="single" w:color="auto" w:sz="4" w:space="0"/>
            </w:tcBorders>
            <w:vAlign w:val="center"/>
          </w:tcPr>
          <w:p w14:paraId="71A896A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07533A7D">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5A6E4E3B">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416D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01" w:type="pct"/>
            <w:vMerge w:val="continue"/>
            <w:tcBorders>
              <w:left w:val="single" w:color="auto" w:sz="4" w:space="0"/>
              <w:right w:val="single" w:color="auto" w:sz="4" w:space="0"/>
            </w:tcBorders>
            <w:vAlign w:val="center"/>
          </w:tcPr>
          <w:p w14:paraId="3826776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7FBCB3A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插槽</w:t>
            </w:r>
          </w:p>
        </w:tc>
        <w:tc>
          <w:tcPr>
            <w:tcW w:w="2606" w:type="pct"/>
            <w:tcBorders>
              <w:top w:val="single" w:color="auto" w:sz="4" w:space="0"/>
              <w:left w:val="single" w:color="auto" w:sz="4" w:space="0"/>
              <w:bottom w:val="single" w:color="auto" w:sz="4" w:space="0"/>
              <w:right w:val="single" w:color="auto" w:sz="4" w:space="0"/>
            </w:tcBorders>
            <w:vAlign w:val="center"/>
          </w:tcPr>
          <w:p w14:paraId="36F0921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全高 Gen5 PCIe x16 插槽</w:t>
            </w:r>
          </w:p>
          <w:p w14:paraId="7CD6DCE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全高 Gen3 PCIe x4 插槽</w:t>
            </w:r>
          </w:p>
          <w:p w14:paraId="55A151E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全高 Gen 4 PCIe x4 插槽</w:t>
            </w:r>
          </w:p>
          <w:p w14:paraId="41FCD1F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个用于 WiFi 和蓝牙卡的 M.2 2230 插槽</w:t>
            </w:r>
          </w:p>
          <w:p w14:paraId="382A31E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 个适用于 NVMe SSD 的 M.2 2230/2280 PCIe Gen4 </w:t>
            </w:r>
          </w:p>
          <w:p w14:paraId="6CFB3FB7">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插槽</w:t>
            </w:r>
          </w:p>
          <w:p w14:paraId="3B2313A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个适用于 NVMe SSD 的 M.2 2280 PCIe Gen3 插槽</w:t>
            </w:r>
          </w:p>
          <w:p w14:paraId="6AA55B6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个适用于 2.5/3.5 英寸 HDD/ODD 的 SATA 插槽</w:t>
            </w:r>
          </w:p>
        </w:tc>
        <w:tc>
          <w:tcPr>
            <w:tcW w:w="289" w:type="pct"/>
            <w:vMerge w:val="continue"/>
            <w:tcBorders>
              <w:left w:val="single" w:color="auto" w:sz="4" w:space="0"/>
              <w:right w:val="single" w:color="auto" w:sz="4" w:space="0"/>
            </w:tcBorders>
            <w:vAlign w:val="center"/>
          </w:tcPr>
          <w:p w14:paraId="4B5C9D6E">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7AE16362">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1CCE9E09">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148A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59958018">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242A7DF6">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电源</w:t>
            </w:r>
          </w:p>
        </w:tc>
        <w:tc>
          <w:tcPr>
            <w:tcW w:w="2606" w:type="pct"/>
            <w:tcBorders>
              <w:top w:val="single" w:color="auto" w:sz="4" w:space="0"/>
              <w:left w:val="single" w:color="auto" w:sz="4" w:space="0"/>
              <w:bottom w:val="single" w:color="auto" w:sz="4" w:space="0"/>
              <w:right w:val="single" w:color="auto" w:sz="4" w:space="0"/>
            </w:tcBorders>
            <w:vAlign w:val="center"/>
          </w:tcPr>
          <w:p w14:paraId="3816B3FD">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 xml:space="preserve">300 W 内置电源装置，能效为 92% 的 PSU，80 Plus </w:t>
            </w:r>
          </w:p>
          <w:p w14:paraId="472FB4FC">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rPr>
              <w:t>Platinum 电源自带LED故障诊断灯</w:t>
            </w:r>
          </w:p>
        </w:tc>
        <w:tc>
          <w:tcPr>
            <w:tcW w:w="289" w:type="pct"/>
            <w:vMerge w:val="continue"/>
            <w:tcBorders>
              <w:left w:val="single" w:color="auto" w:sz="4" w:space="0"/>
              <w:right w:val="single" w:color="auto" w:sz="4" w:space="0"/>
            </w:tcBorders>
            <w:vAlign w:val="center"/>
          </w:tcPr>
          <w:p w14:paraId="2DF0F28F">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p>
        </w:tc>
        <w:tc>
          <w:tcPr>
            <w:tcW w:w="325" w:type="pct"/>
            <w:vMerge w:val="continue"/>
            <w:tcBorders>
              <w:left w:val="single" w:color="auto" w:sz="4" w:space="0"/>
              <w:right w:val="single" w:color="auto" w:sz="4" w:space="0"/>
            </w:tcBorders>
            <w:vAlign w:val="center"/>
          </w:tcPr>
          <w:p w14:paraId="4CE725DD">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c>
          <w:tcPr>
            <w:tcW w:w="492" w:type="pct"/>
            <w:vMerge w:val="continue"/>
            <w:tcBorders>
              <w:left w:val="single" w:color="auto" w:sz="4" w:space="0"/>
              <w:right w:val="single" w:color="auto" w:sz="4" w:space="0"/>
            </w:tcBorders>
            <w:vAlign w:val="center"/>
          </w:tcPr>
          <w:p w14:paraId="2076E230">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r>
      <w:tr w14:paraId="1A1B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0382BEC8">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36D758E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机箱</w:t>
            </w:r>
          </w:p>
        </w:tc>
        <w:tc>
          <w:tcPr>
            <w:tcW w:w="2606" w:type="pct"/>
            <w:tcBorders>
              <w:top w:val="single" w:color="auto" w:sz="4" w:space="0"/>
              <w:left w:val="single" w:color="auto" w:sz="4" w:space="0"/>
              <w:bottom w:val="single" w:color="auto" w:sz="4" w:space="0"/>
              <w:right w:val="single" w:color="auto" w:sz="4" w:space="0"/>
            </w:tcBorders>
            <w:vAlign w:val="center"/>
          </w:tcPr>
          <w:p w14:paraId="0D443CE5">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机箱≥18L</w:t>
            </w:r>
          </w:p>
        </w:tc>
        <w:tc>
          <w:tcPr>
            <w:tcW w:w="289" w:type="pct"/>
            <w:vMerge w:val="continue"/>
            <w:tcBorders>
              <w:left w:val="single" w:color="auto" w:sz="4" w:space="0"/>
              <w:right w:val="single" w:color="auto" w:sz="4" w:space="0"/>
            </w:tcBorders>
            <w:vAlign w:val="center"/>
          </w:tcPr>
          <w:p w14:paraId="07FC7275">
            <w:pPr>
              <w:pStyle w:val="18"/>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rPr>
            </w:pPr>
          </w:p>
        </w:tc>
        <w:tc>
          <w:tcPr>
            <w:tcW w:w="325" w:type="pct"/>
            <w:vMerge w:val="continue"/>
            <w:tcBorders>
              <w:left w:val="single" w:color="auto" w:sz="4" w:space="0"/>
              <w:right w:val="single" w:color="auto" w:sz="4" w:space="0"/>
            </w:tcBorders>
            <w:vAlign w:val="center"/>
          </w:tcPr>
          <w:p w14:paraId="0F642FB1">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c>
          <w:tcPr>
            <w:tcW w:w="492" w:type="pct"/>
            <w:vMerge w:val="continue"/>
            <w:tcBorders>
              <w:left w:val="single" w:color="auto" w:sz="4" w:space="0"/>
              <w:right w:val="single" w:color="auto" w:sz="4" w:space="0"/>
            </w:tcBorders>
            <w:vAlign w:val="center"/>
          </w:tcPr>
          <w:p w14:paraId="7F66005E">
            <w:pPr>
              <w:pStyle w:val="18"/>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rPr>
            </w:pPr>
          </w:p>
        </w:tc>
      </w:tr>
      <w:tr w14:paraId="197D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65DCD93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7CA81E02">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安全性</w:t>
            </w:r>
          </w:p>
        </w:tc>
        <w:tc>
          <w:tcPr>
            <w:tcW w:w="2606" w:type="pct"/>
            <w:tcBorders>
              <w:top w:val="single" w:color="auto" w:sz="4" w:space="0"/>
              <w:left w:val="single" w:color="auto" w:sz="4" w:space="0"/>
              <w:bottom w:val="single" w:color="auto" w:sz="4" w:space="0"/>
              <w:right w:val="single" w:color="auto" w:sz="4" w:space="0"/>
            </w:tcBorders>
            <w:vAlign w:val="center"/>
          </w:tcPr>
          <w:p w14:paraId="1C0285CB">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机箱防盗开关 </w:t>
            </w:r>
          </w:p>
          <w:p w14:paraId="16FC788E">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SafeID，包括可信平台模块 (TPM) 2.0 </w:t>
            </w:r>
          </w:p>
          <w:p w14:paraId="411BAD28">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通过 BIOS 进行的本地硬盘数据擦除（安全擦除） </w:t>
            </w:r>
          </w:p>
          <w:p w14:paraId="60B810A0">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可信平台模块 (TPM) 2.0 </w:t>
            </w:r>
          </w:p>
          <w:p w14:paraId="2C9DF228">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SafeBIOS</w:t>
            </w:r>
          </w:p>
        </w:tc>
        <w:tc>
          <w:tcPr>
            <w:tcW w:w="289" w:type="pct"/>
            <w:vMerge w:val="continue"/>
            <w:tcBorders>
              <w:left w:val="single" w:color="auto" w:sz="4" w:space="0"/>
              <w:right w:val="single" w:color="auto" w:sz="4" w:space="0"/>
            </w:tcBorders>
            <w:vAlign w:val="center"/>
          </w:tcPr>
          <w:p w14:paraId="58B4F5AC">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0F9A2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47519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26A6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66DC7F24">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48CD6522">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color="auto" w:fill="FFFFFF"/>
              </w:rPr>
              <w:t>电子产品环境评价工具</w:t>
            </w:r>
          </w:p>
        </w:tc>
        <w:tc>
          <w:tcPr>
            <w:tcW w:w="2606" w:type="pct"/>
            <w:tcBorders>
              <w:top w:val="single" w:color="auto" w:sz="4" w:space="0"/>
              <w:left w:val="single" w:color="auto" w:sz="4" w:space="0"/>
              <w:bottom w:val="single" w:color="auto" w:sz="4" w:space="0"/>
              <w:right w:val="single" w:color="auto" w:sz="4" w:space="0"/>
            </w:tcBorders>
            <w:vAlign w:val="center"/>
          </w:tcPr>
          <w:p w14:paraId="732526B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产品通过EPEAT认证</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提供相关资料，加盖投标人公章</w:t>
            </w:r>
            <w:r>
              <w:rPr>
                <w:rFonts w:hint="eastAsia" w:asciiTheme="minorEastAsia" w:hAnsiTheme="minorEastAsia" w:eastAsiaTheme="minorEastAsia" w:cstheme="minorEastAsia"/>
                <w:sz w:val="24"/>
                <w:szCs w:val="24"/>
                <w:lang w:eastAsia="zh-CN"/>
              </w:rPr>
              <w:t>）</w:t>
            </w:r>
          </w:p>
        </w:tc>
        <w:tc>
          <w:tcPr>
            <w:tcW w:w="289" w:type="pct"/>
            <w:vMerge w:val="continue"/>
            <w:tcBorders>
              <w:left w:val="single" w:color="auto" w:sz="4" w:space="0"/>
              <w:right w:val="single" w:color="auto" w:sz="4" w:space="0"/>
            </w:tcBorders>
            <w:vAlign w:val="bottom"/>
          </w:tcPr>
          <w:p w14:paraId="2C7ADBF6">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70898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395DB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7390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554D6CFD">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26AE57FA">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CQC认证</w:t>
            </w:r>
          </w:p>
        </w:tc>
        <w:tc>
          <w:tcPr>
            <w:tcW w:w="2606" w:type="pct"/>
            <w:tcBorders>
              <w:top w:val="single" w:color="auto" w:sz="4" w:space="0"/>
              <w:left w:val="single" w:color="auto" w:sz="4" w:space="0"/>
              <w:bottom w:val="single" w:color="auto" w:sz="4" w:space="0"/>
              <w:right w:val="single" w:color="auto" w:sz="4" w:space="0"/>
            </w:tcBorders>
            <w:vAlign w:val="bottom"/>
          </w:tcPr>
          <w:p w14:paraId="17D5E0C0">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产品通过CQC认证</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提供相关资料，加盖投标人公章</w:t>
            </w:r>
            <w:r>
              <w:rPr>
                <w:rFonts w:hint="eastAsia" w:asciiTheme="minorEastAsia" w:hAnsiTheme="minorEastAsia" w:eastAsiaTheme="minorEastAsia" w:cstheme="minorEastAsia"/>
                <w:sz w:val="24"/>
                <w:szCs w:val="24"/>
                <w:lang w:eastAsia="zh-CN"/>
              </w:rPr>
              <w:t>）</w:t>
            </w:r>
          </w:p>
        </w:tc>
        <w:tc>
          <w:tcPr>
            <w:tcW w:w="289" w:type="pct"/>
            <w:vMerge w:val="continue"/>
            <w:tcBorders>
              <w:left w:val="single" w:color="auto" w:sz="4" w:space="0"/>
              <w:right w:val="single" w:color="auto" w:sz="4" w:space="0"/>
            </w:tcBorders>
            <w:vAlign w:val="bottom"/>
          </w:tcPr>
          <w:p w14:paraId="7759CBA4">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65C7B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39DDA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5106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14DC1C0E">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555C591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显示器</w:t>
            </w:r>
          </w:p>
        </w:tc>
        <w:tc>
          <w:tcPr>
            <w:tcW w:w="2606" w:type="pct"/>
            <w:tcBorders>
              <w:top w:val="single" w:color="auto" w:sz="4" w:space="0"/>
              <w:left w:val="single" w:color="auto" w:sz="4" w:space="0"/>
              <w:bottom w:val="single" w:color="auto" w:sz="4" w:space="0"/>
              <w:right w:val="single" w:color="auto" w:sz="4" w:space="0"/>
            </w:tcBorders>
            <w:vAlign w:val="bottom"/>
          </w:tcPr>
          <w:p w14:paraId="4F59D249">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可视尺寸不小于21.45in，分辨率1920*1080</w:t>
            </w:r>
          </w:p>
        </w:tc>
        <w:tc>
          <w:tcPr>
            <w:tcW w:w="289" w:type="pct"/>
            <w:vMerge w:val="continue"/>
            <w:tcBorders>
              <w:left w:val="single" w:color="auto" w:sz="4" w:space="0"/>
              <w:right w:val="single" w:color="auto" w:sz="4" w:space="0"/>
            </w:tcBorders>
            <w:vAlign w:val="bottom"/>
          </w:tcPr>
          <w:p w14:paraId="78889A66">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24174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5F209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4DEA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vMerge w:val="continue"/>
            <w:tcBorders>
              <w:left w:val="single" w:color="auto" w:sz="4" w:space="0"/>
              <w:right w:val="single" w:color="auto" w:sz="4" w:space="0"/>
            </w:tcBorders>
            <w:vAlign w:val="center"/>
          </w:tcPr>
          <w:p w14:paraId="367F6F2B">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0DB1BFA4">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管理软件</w:t>
            </w:r>
          </w:p>
        </w:tc>
        <w:tc>
          <w:tcPr>
            <w:tcW w:w="2606" w:type="pct"/>
            <w:tcBorders>
              <w:top w:val="single" w:color="auto" w:sz="4" w:space="0"/>
              <w:left w:val="single" w:color="auto" w:sz="4" w:space="0"/>
              <w:bottom w:val="single" w:color="auto" w:sz="4" w:space="0"/>
              <w:right w:val="single" w:color="auto" w:sz="4" w:space="0"/>
            </w:tcBorders>
            <w:vAlign w:val="center"/>
          </w:tcPr>
          <w:p w14:paraId="3FD7FA2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1.支持多达1500个操作系统启动（含虚拟系统），建立的虚拟系统可以解决硬盘容量小，无法安装多个操作系统的困扰，每个系统数据相互隔离，不同的操作系统可独立设置私有的计算机名和IP地址。</w:t>
            </w:r>
          </w:p>
          <w:p w14:paraId="01C2B1A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2.支持主流Windows、Linux及麒麟、UOS等国产化操作系统保护/还原/克隆，同时可设置手动还原、不还原、每次开机还原、每天/每周/每月特定时间还原等多个还原模式（提供软件功能界面截图并加盖投标人公章）。</w:t>
            </w:r>
          </w:p>
          <w:p w14:paraId="71D2566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3.支持双硬盘保护还原及同传，同传支持UEFI PXE和Legacy PXE双模式自动连线及有效数据或增量的小传大或大传小（提供软件功能界面截图并加盖投标人公章）。</w:t>
            </w:r>
          </w:p>
          <w:p w14:paraId="5C985BF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4.支持BIOS底层管理，无需进入Windows系统即可完成对硬盘分区新建、删除和编辑维护，及IP地址、ID信息、计算机名、管理密码信息的修改和关机重启操作（提供软件功能界面截图并加盖投标人公章）。</w:t>
            </w:r>
          </w:p>
          <w:p w14:paraId="6C401F4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5.支持BIOS底层管理员模式、还原模式、考试模式一键自由切换（提供软件功能界面截图并加盖投标人公章）。</w:t>
            </w:r>
          </w:p>
          <w:p w14:paraId="6399DAF6">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6.支持主控端向被控端批量发送消息和通知，通知内容以滚动字幕的方式显示在被控端桌面，避免用户遗漏查收重要通知信息（提供软件功能界面截图并加盖投标人公章）。</w:t>
            </w:r>
          </w:p>
          <w:p w14:paraId="54CF729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7.支持多系统一键切换和终端键鼠/屏幕/USB/光驱/网络/扬声器等设备批量锁定或解锁（提供软件功能界面截图并加盖投标人公章）。</w:t>
            </w:r>
          </w:p>
          <w:p w14:paraId="1C02C09B">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8.支持终端批量一键自动升级，无需逐台卸载安装，节省维护时间（提供软件功能界面截图并加盖投标人公章）。</w:t>
            </w:r>
          </w:p>
          <w:p w14:paraId="51FF9856">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9.支持控制端UI自定义更换和在线时长强制退出机制，确保用户长时间未使用时，非管理人员对系统进行误操作（提供软件功能界面截图并加盖投标人公章）。</w:t>
            </w:r>
          </w:p>
          <w:p w14:paraId="758BABA0">
            <w:pPr>
              <w:pStyle w:val="2"/>
              <w:rPr>
                <w:rFonts w:hint="default" w:eastAsiaTheme="minorEastAsia"/>
                <w:lang w:val="en-US" w:eastAsia="zh-CN"/>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color w:val="auto"/>
                <w:kern w:val="2"/>
                <w:sz w:val="24"/>
                <w:szCs w:val="24"/>
                <w:lang w:val="en-US" w:eastAsia="zh-CN" w:bidi="ar-SA"/>
              </w:rPr>
              <w:t>.提供管理软件的计算机软件著作权登记证书复印件（加盖投标人公章）</w:t>
            </w:r>
          </w:p>
        </w:tc>
        <w:tc>
          <w:tcPr>
            <w:tcW w:w="289" w:type="pct"/>
            <w:vMerge w:val="continue"/>
            <w:tcBorders>
              <w:left w:val="single" w:color="auto" w:sz="4" w:space="0"/>
              <w:right w:val="single" w:color="auto" w:sz="4" w:space="0"/>
            </w:tcBorders>
            <w:vAlign w:val="center"/>
          </w:tcPr>
          <w:p w14:paraId="47B6AC0F">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vMerge w:val="continue"/>
            <w:tcBorders>
              <w:left w:val="single" w:color="auto" w:sz="4" w:space="0"/>
              <w:right w:val="single" w:color="auto" w:sz="4" w:space="0"/>
            </w:tcBorders>
            <w:vAlign w:val="center"/>
          </w:tcPr>
          <w:p w14:paraId="05E32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243B4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53316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left w:val="single" w:color="auto" w:sz="4" w:space="0"/>
              <w:right w:val="single" w:color="auto" w:sz="4" w:space="0"/>
            </w:tcBorders>
            <w:vAlign w:val="center"/>
          </w:tcPr>
          <w:p w14:paraId="1CCF302C">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654FC171">
            <w:pPr>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售后服务</w:t>
            </w:r>
          </w:p>
        </w:tc>
        <w:tc>
          <w:tcPr>
            <w:tcW w:w="2606" w:type="pct"/>
            <w:tcBorders>
              <w:top w:val="single" w:color="auto" w:sz="4" w:space="0"/>
              <w:left w:val="single" w:color="auto" w:sz="4" w:space="0"/>
              <w:bottom w:val="single" w:color="auto" w:sz="4" w:space="0"/>
              <w:right w:val="single" w:color="auto" w:sz="4" w:space="0"/>
            </w:tcBorders>
            <w:vAlign w:val="center"/>
          </w:tcPr>
          <w:p w14:paraId="00288243">
            <w:pPr>
              <w:pStyle w:val="2"/>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提供3年上门售后服务</w:t>
            </w:r>
          </w:p>
        </w:tc>
        <w:tc>
          <w:tcPr>
            <w:tcW w:w="289" w:type="pct"/>
            <w:tcBorders>
              <w:left w:val="single" w:color="auto" w:sz="4" w:space="0"/>
              <w:right w:val="single" w:color="auto" w:sz="4" w:space="0"/>
            </w:tcBorders>
            <w:vAlign w:val="center"/>
          </w:tcPr>
          <w:p w14:paraId="0C654865">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tcBorders>
              <w:left w:val="single" w:color="auto" w:sz="4" w:space="0"/>
              <w:right w:val="single" w:color="auto" w:sz="4" w:space="0"/>
            </w:tcBorders>
            <w:vAlign w:val="center"/>
          </w:tcPr>
          <w:p w14:paraId="1ED39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2BA3B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69EB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pct"/>
            <w:tcBorders>
              <w:left w:val="single" w:color="auto" w:sz="4" w:space="0"/>
              <w:right w:val="single" w:color="auto" w:sz="4" w:space="0"/>
            </w:tcBorders>
            <w:vAlign w:val="center"/>
          </w:tcPr>
          <w:p w14:paraId="7CFA0C8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583" w:type="pct"/>
            <w:tcBorders>
              <w:top w:val="single" w:color="auto" w:sz="4" w:space="0"/>
              <w:left w:val="single" w:color="auto" w:sz="4" w:space="0"/>
              <w:bottom w:val="single" w:color="auto" w:sz="4" w:space="0"/>
              <w:right w:val="single" w:color="auto" w:sz="4" w:space="0"/>
            </w:tcBorders>
            <w:vAlign w:val="center"/>
          </w:tcPr>
          <w:p w14:paraId="0FF43A92">
            <w:pPr>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教学软件安装服务</w:t>
            </w:r>
          </w:p>
        </w:tc>
        <w:tc>
          <w:tcPr>
            <w:tcW w:w="2606" w:type="pct"/>
            <w:tcBorders>
              <w:top w:val="single" w:color="auto" w:sz="4" w:space="0"/>
              <w:left w:val="single" w:color="auto" w:sz="4" w:space="0"/>
              <w:bottom w:val="single" w:color="auto" w:sz="4" w:space="0"/>
              <w:right w:val="single" w:color="auto" w:sz="4" w:space="0"/>
            </w:tcBorders>
            <w:vAlign w:val="center"/>
          </w:tcPr>
          <w:p w14:paraId="2B53C94B">
            <w:pPr>
              <w:pStyle w:val="2"/>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按要求安装各种教学软件包括安装AutoCAD、安装office、大疆飞控软件、ArcGIS、MapGIS、Mapinfod等软件并调试至符合教学使用。</w:t>
            </w:r>
          </w:p>
        </w:tc>
        <w:tc>
          <w:tcPr>
            <w:tcW w:w="289" w:type="pct"/>
            <w:tcBorders>
              <w:left w:val="single" w:color="auto" w:sz="4" w:space="0"/>
              <w:right w:val="single" w:color="auto" w:sz="4" w:space="0"/>
            </w:tcBorders>
            <w:vAlign w:val="center"/>
          </w:tcPr>
          <w:p w14:paraId="35A12F31">
            <w:pPr>
              <w:keepNext w:val="0"/>
              <w:keepLines w:val="0"/>
              <w:pageBreakBefore w:val="0"/>
              <w:widowControl/>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sz w:val="24"/>
                <w:szCs w:val="24"/>
              </w:rPr>
            </w:pPr>
          </w:p>
        </w:tc>
        <w:tc>
          <w:tcPr>
            <w:tcW w:w="325" w:type="pct"/>
            <w:tcBorders>
              <w:left w:val="single" w:color="auto" w:sz="4" w:space="0"/>
              <w:right w:val="single" w:color="auto" w:sz="4" w:space="0"/>
            </w:tcBorders>
            <w:vAlign w:val="center"/>
          </w:tcPr>
          <w:p w14:paraId="41C70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c>
          <w:tcPr>
            <w:tcW w:w="492" w:type="pct"/>
            <w:vMerge w:val="continue"/>
            <w:tcBorders>
              <w:left w:val="single" w:color="auto" w:sz="4" w:space="0"/>
              <w:right w:val="single" w:color="auto" w:sz="4" w:space="0"/>
            </w:tcBorders>
            <w:vAlign w:val="center"/>
          </w:tcPr>
          <w:p w14:paraId="2AB98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r w14:paraId="786D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5" w:type="pct"/>
            <w:gridSpan w:val="2"/>
            <w:tcBorders>
              <w:left w:val="single" w:color="auto" w:sz="4" w:space="0"/>
              <w:bottom w:val="single" w:color="auto" w:sz="4" w:space="0"/>
              <w:right w:val="single" w:color="auto" w:sz="4" w:space="0"/>
            </w:tcBorders>
            <w:vAlign w:val="center"/>
          </w:tcPr>
          <w:p w14:paraId="3BCD1FC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仿宋" w:hAnsi="仿宋" w:eastAsia="仿宋" w:cs="仿宋"/>
                <w:b/>
                <w:bCs/>
                <w:color w:val="000000"/>
                <w:sz w:val="28"/>
                <w:szCs w:val="28"/>
              </w:rPr>
              <w:t>合计（元）</w:t>
            </w:r>
          </w:p>
        </w:tc>
        <w:tc>
          <w:tcPr>
            <w:tcW w:w="3714" w:type="pct"/>
            <w:gridSpan w:val="4"/>
            <w:tcBorders>
              <w:top w:val="single" w:color="auto" w:sz="4" w:space="0"/>
              <w:left w:val="single" w:color="auto" w:sz="4" w:space="0"/>
              <w:bottom w:val="single" w:color="auto" w:sz="4" w:space="0"/>
              <w:right w:val="single" w:color="auto" w:sz="4" w:space="0"/>
            </w:tcBorders>
            <w:vAlign w:val="center"/>
          </w:tcPr>
          <w:p w14:paraId="332D5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sz w:val="24"/>
                <w:szCs w:val="24"/>
              </w:rPr>
            </w:pPr>
          </w:p>
        </w:tc>
      </w:tr>
    </w:tbl>
    <w:p w14:paraId="3AE6E418">
      <w:pPr>
        <w:snapToGrid w:val="0"/>
        <w:spacing w:line="460" w:lineRule="exact"/>
        <w:rPr>
          <w:rFonts w:hint="eastAsia" w:hAnsi="宋体"/>
          <w:szCs w:val="21"/>
        </w:rPr>
      </w:pPr>
    </w:p>
    <w:p w14:paraId="2DFECAE2">
      <w:pPr>
        <w:snapToGrid w:val="0"/>
        <w:spacing w:line="460" w:lineRule="exact"/>
        <w:rPr>
          <w:rFonts w:hAnsi="宋体"/>
          <w:szCs w:val="21"/>
        </w:rPr>
      </w:pPr>
      <w:r>
        <w:rPr>
          <w:rFonts w:hint="eastAsia" w:hAnsi="宋体"/>
          <w:szCs w:val="21"/>
        </w:rPr>
        <w:t>注：</w:t>
      </w:r>
      <w:r>
        <w:rPr>
          <w:rFonts w:hint="eastAsia" w:hAnsi="宋体"/>
          <w:szCs w:val="21"/>
          <w:lang w:val="en-US" w:eastAsia="zh-CN"/>
        </w:rPr>
        <w:t>附件2的</w:t>
      </w:r>
      <w:r>
        <w:rPr>
          <w:rFonts w:hint="eastAsia" w:hAnsi="宋体"/>
          <w:szCs w:val="21"/>
        </w:rPr>
        <w:t>“合计”要与附件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10D8DFEB">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B6273A">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131DA6BB">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775EA262">
      <w:pPr>
        <w:snapToGrid w:val="0"/>
        <w:spacing w:line="460" w:lineRule="exact"/>
        <w:ind w:firstLine="411" w:firstLineChars="196"/>
        <w:rPr>
          <w:rFonts w:hAnsi="宋体"/>
          <w:szCs w:val="21"/>
        </w:rPr>
      </w:pPr>
    </w:p>
    <w:p w14:paraId="15A4BC80">
      <w:pPr>
        <w:snapToGrid w:val="0"/>
        <w:spacing w:line="460" w:lineRule="exact"/>
        <w:ind w:firstLine="411" w:firstLineChars="196"/>
        <w:rPr>
          <w:rFonts w:hAnsi="宋体"/>
          <w:szCs w:val="21"/>
        </w:rPr>
      </w:pPr>
    </w:p>
    <w:p w14:paraId="0915591C">
      <w:pPr>
        <w:rPr>
          <w:rFonts w:ascii="宋体" w:hAnsi="宋体" w:cs="宋体"/>
          <w:b/>
          <w:sz w:val="24"/>
        </w:rPr>
      </w:pPr>
      <w:r>
        <w:rPr>
          <w:rFonts w:hint="eastAsia"/>
          <w:b/>
          <w:sz w:val="24"/>
        </w:rPr>
        <w:t>（注：本报价表为必要文件，必须加盖报价供应商公章，否则作无效报价处理）</w:t>
      </w:r>
    </w:p>
    <w:p w14:paraId="0AEFBCCB">
      <w:pPr>
        <w:rPr>
          <w:rFonts w:ascii="宋体" w:hAnsi="宋体" w:cs="宋体"/>
          <w:b/>
          <w:sz w:val="24"/>
        </w:rPr>
      </w:pPr>
      <w:r>
        <w:rPr>
          <w:rFonts w:hint="eastAsia" w:ascii="宋体" w:hAnsi="宋体" w:cs="宋体"/>
          <w:b/>
          <w:sz w:val="24"/>
        </w:rPr>
        <w:br w:type="page"/>
      </w:r>
    </w:p>
    <w:p w14:paraId="227BEFA2">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7F6C4485">
      <w:pPr>
        <w:pStyle w:val="4"/>
        <w:spacing w:before="0" w:after="0" w:line="400" w:lineRule="exact"/>
        <w:rPr>
          <w:rFonts w:ascii="宋体" w:hAnsi="宋体" w:cs="宋体"/>
          <w:szCs w:val="28"/>
        </w:rPr>
      </w:pPr>
    </w:p>
    <w:p w14:paraId="42EEFDF7">
      <w:pPr>
        <w:pStyle w:val="4"/>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66CE4AD9">
      <w:pPr>
        <w:pStyle w:val="17"/>
        <w:spacing w:line="480" w:lineRule="auto"/>
        <w:ind w:firstLine="0" w:firstLineChars="0"/>
        <w:jc w:val="left"/>
        <w:rPr>
          <w:rFonts w:ascii="仿宋" w:hAnsi="仿宋" w:eastAsia="仿宋" w:cs="仿宋"/>
          <w:sz w:val="24"/>
        </w:rPr>
      </w:pPr>
    </w:p>
    <w:p w14:paraId="313718A9">
      <w:pPr>
        <w:pStyle w:val="17"/>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0FF58E8A">
      <w:pPr>
        <w:pStyle w:val="17"/>
        <w:ind w:firstLine="480"/>
        <w:jc w:val="left"/>
        <w:rPr>
          <w:rFonts w:ascii="宋体" w:hAnsi="宋体" w:cs="宋体"/>
          <w:sz w:val="24"/>
        </w:rPr>
      </w:pPr>
    </w:p>
    <w:p w14:paraId="50B399DE">
      <w:pPr>
        <w:tabs>
          <w:tab w:val="left" w:pos="676"/>
          <w:tab w:val="left" w:pos="2330"/>
          <w:tab w:val="left" w:pos="9230"/>
        </w:tabs>
        <w:autoSpaceDE w:val="0"/>
        <w:autoSpaceDN w:val="0"/>
        <w:adjustRightInd w:val="0"/>
        <w:rPr>
          <w:rFonts w:ascii="宋体" w:hAnsi="宋体" w:cs="宋体"/>
          <w:sz w:val="24"/>
        </w:rPr>
      </w:pPr>
    </w:p>
    <w:p w14:paraId="6F4B7106">
      <w:pPr>
        <w:tabs>
          <w:tab w:val="left" w:pos="676"/>
          <w:tab w:val="left" w:pos="2330"/>
          <w:tab w:val="left" w:pos="9230"/>
        </w:tabs>
        <w:autoSpaceDE w:val="0"/>
        <w:autoSpaceDN w:val="0"/>
        <w:adjustRightInd w:val="0"/>
        <w:rPr>
          <w:rFonts w:ascii="宋体" w:hAnsi="宋体" w:cs="宋体"/>
          <w:sz w:val="24"/>
        </w:rPr>
      </w:pPr>
    </w:p>
    <w:p w14:paraId="474F7395">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53F633F5">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2DF559BB">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34C603D4">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54032E1E">
      <w:pPr>
        <w:rPr>
          <w:rFonts w:cs="Tahoma"/>
          <w:b/>
          <w:sz w:val="24"/>
        </w:rPr>
      </w:pPr>
    </w:p>
    <w:p w14:paraId="29E07D2B">
      <w:pPr>
        <w:rPr>
          <w:rFonts w:cs="Tahoma"/>
          <w:b/>
          <w:sz w:val="24"/>
        </w:rPr>
      </w:pPr>
    </w:p>
    <w:p w14:paraId="5752CB4F">
      <w:pPr>
        <w:rPr>
          <w:rFonts w:cs="Tahoma"/>
          <w:b/>
          <w:sz w:val="24"/>
        </w:rPr>
      </w:pPr>
    </w:p>
    <w:p w14:paraId="74F93AA8">
      <w:pPr>
        <w:rPr>
          <w:rFonts w:cs="Tahoma"/>
          <w:b/>
          <w:sz w:val="24"/>
        </w:rPr>
      </w:pPr>
    </w:p>
    <w:p w14:paraId="19A85901">
      <w:pPr>
        <w:rPr>
          <w:rFonts w:cs="Tahoma"/>
          <w:b/>
          <w:sz w:val="24"/>
        </w:rPr>
      </w:pPr>
    </w:p>
    <w:p w14:paraId="243D486B">
      <w:pPr>
        <w:rPr>
          <w:rFonts w:cs="Tahoma"/>
          <w:b/>
          <w:sz w:val="24"/>
        </w:rPr>
      </w:pPr>
    </w:p>
    <w:p w14:paraId="0292D4BF">
      <w:pPr>
        <w:rPr>
          <w:rFonts w:cs="Tahoma"/>
          <w:b/>
          <w:sz w:val="24"/>
        </w:rPr>
      </w:pPr>
    </w:p>
    <w:p w14:paraId="7DCA0C28">
      <w:pPr>
        <w:rPr>
          <w:rFonts w:cs="Tahoma"/>
          <w:b/>
          <w:sz w:val="24"/>
        </w:rPr>
      </w:pPr>
    </w:p>
    <w:p w14:paraId="2473433C">
      <w:pPr>
        <w:pStyle w:val="9"/>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Univers 57 Condensed">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6">
    <w:nsid w:val="63A21696"/>
    <w:multiLevelType w:val="singleLevel"/>
    <w:tmpl w:val="63A21696"/>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2OTZmZGUyOGUyYTU0MmViMmEyODlkZmYwMmU1NDUifQ=="/>
  </w:docVars>
  <w:rsids>
    <w:rsidRoot w:val="00D34C34"/>
    <w:rsid w:val="00077E0C"/>
    <w:rsid w:val="00285DDB"/>
    <w:rsid w:val="00566D9C"/>
    <w:rsid w:val="0058003D"/>
    <w:rsid w:val="00590439"/>
    <w:rsid w:val="006D3B4C"/>
    <w:rsid w:val="007550D4"/>
    <w:rsid w:val="007D009F"/>
    <w:rsid w:val="00840270"/>
    <w:rsid w:val="00A119A2"/>
    <w:rsid w:val="00A64F7F"/>
    <w:rsid w:val="00A90128"/>
    <w:rsid w:val="00AF43F9"/>
    <w:rsid w:val="00B77A94"/>
    <w:rsid w:val="00D34C34"/>
    <w:rsid w:val="00E90390"/>
    <w:rsid w:val="03353615"/>
    <w:rsid w:val="0530100E"/>
    <w:rsid w:val="05B523C0"/>
    <w:rsid w:val="05D34F20"/>
    <w:rsid w:val="06B807E5"/>
    <w:rsid w:val="06D73361"/>
    <w:rsid w:val="072E0AA7"/>
    <w:rsid w:val="078E5DFF"/>
    <w:rsid w:val="08DB0410"/>
    <w:rsid w:val="0A062E0C"/>
    <w:rsid w:val="0A3929B4"/>
    <w:rsid w:val="0A6A0048"/>
    <w:rsid w:val="0BC34CFF"/>
    <w:rsid w:val="0BDD0CD5"/>
    <w:rsid w:val="0F001001"/>
    <w:rsid w:val="0FA14F53"/>
    <w:rsid w:val="0FAC7731"/>
    <w:rsid w:val="10371C2B"/>
    <w:rsid w:val="10D601E5"/>
    <w:rsid w:val="120B2110"/>
    <w:rsid w:val="1269161B"/>
    <w:rsid w:val="131C20FB"/>
    <w:rsid w:val="14325D10"/>
    <w:rsid w:val="15ED073F"/>
    <w:rsid w:val="16D47D7B"/>
    <w:rsid w:val="17A81ECF"/>
    <w:rsid w:val="17D47448"/>
    <w:rsid w:val="19F26CAA"/>
    <w:rsid w:val="1A444EEE"/>
    <w:rsid w:val="1A8255D7"/>
    <w:rsid w:val="1BF95ED5"/>
    <w:rsid w:val="1D440623"/>
    <w:rsid w:val="1D54413A"/>
    <w:rsid w:val="1DB42CA3"/>
    <w:rsid w:val="1E311151"/>
    <w:rsid w:val="1F507DBE"/>
    <w:rsid w:val="212177E3"/>
    <w:rsid w:val="229D1137"/>
    <w:rsid w:val="24BB1A74"/>
    <w:rsid w:val="25203CCD"/>
    <w:rsid w:val="264A6E5E"/>
    <w:rsid w:val="27402C58"/>
    <w:rsid w:val="2A17416A"/>
    <w:rsid w:val="2C180514"/>
    <w:rsid w:val="2CD32928"/>
    <w:rsid w:val="2E1609D1"/>
    <w:rsid w:val="2EA65243"/>
    <w:rsid w:val="31993A3E"/>
    <w:rsid w:val="31C52C12"/>
    <w:rsid w:val="33D53DCA"/>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200980"/>
    <w:rsid w:val="493F0316"/>
    <w:rsid w:val="49A34401"/>
    <w:rsid w:val="4B1F346C"/>
    <w:rsid w:val="4C800A2A"/>
    <w:rsid w:val="4D1A2C2C"/>
    <w:rsid w:val="4D976207"/>
    <w:rsid w:val="4E3715BC"/>
    <w:rsid w:val="4EA67132"/>
    <w:rsid w:val="4ED46AB5"/>
    <w:rsid w:val="508D3CB3"/>
    <w:rsid w:val="50E34490"/>
    <w:rsid w:val="5116195C"/>
    <w:rsid w:val="534327B1"/>
    <w:rsid w:val="536A2CA6"/>
    <w:rsid w:val="53A64BAC"/>
    <w:rsid w:val="55A95BDD"/>
    <w:rsid w:val="56BD287A"/>
    <w:rsid w:val="5D2B6790"/>
    <w:rsid w:val="5D93012F"/>
    <w:rsid w:val="5F21609C"/>
    <w:rsid w:val="5FA34D03"/>
    <w:rsid w:val="613357C6"/>
    <w:rsid w:val="623A7DB9"/>
    <w:rsid w:val="632E2B36"/>
    <w:rsid w:val="63AB2175"/>
    <w:rsid w:val="63EA3E83"/>
    <w:rsid w:val="64153CF6"/>
    <w:rsid w:val="64C235B4"/>
    <w:rsid w:val="671B3414"/>
    <w:rsid w:val="67E06CCB"/>
    <w:rsid w:val="69175343"/>
    <w:rsid w:val="6A532BBE"/>
    <w:rsid w:val="6AA5542C"/>
    <w:rsid w:val="6C72589E"/>
    <w:rsid w:val="6C946547"/>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B4E0F0D"/>
    <w:rsid w:val="7C580BF1"/>
    <w:rsid w:val="7FFF2AF9"/>
    <w:rsid w:val="9FAC410C"/>
    <w:rsid w:val="BCDA0576"/>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paragraph" w:styleId="4">
    <w:name w:val="heading 2"/>
    <w:basedOn w:val="1"/>
    <w:next w:val="1"/>
    <w:qFormat/>
    <w:uiPriority w:val="0"/>
    <w:pPr>
      <w:keepNext/>
      <w:keepLines/>
      <w:spacing w:before="260" w:after="260" w:line="416" w:lineRule="auto"/>
      <w:outlineLvl w:val="1"/>
    </w:pPr>
    <w:rPr>
      <w:rFonts w:ascii="Arial" w:hAnsi="Arial"/>
      <w:b/>
      <w:sz w:val="28"/>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5">
    <w:name w:val="Body Text"/>
    <w:basedOn w:val="1"/>
    <w:qFormat/>
    <w:uiPriority w:val="0"/>
    <w:pPr>
      <w:spacing w:line="460" w:lineRule="exact"/>
    </w:pPr>
    <w:rPr>
      <w:rFonts w:ascii="汉鼎简楷体" w:hAnsi="宋体" w:eastAsia="汉鼎简楷体"/>
      <w:b/>
      <w:bCs/>
      <w:spacing w:val="4"/>
      <w:sz w:val="24"/>
      <w:szCs w:val="20"/>
    </w:rPr>
  </w:style>
  <w:style w:type="paragraph" w:styleId="6">
    <w:name w:val="Plain Text"/>
    <w:basedOn w:val="1"/>
    <w:qFormat/>
    <w:uiPriority w:val="0"/>
    <w:rPr>
      <w:rFonts w:ascii="宋体" w:hAnsi="Courier New"/>
      <w:sz w:val="20"/>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next w:val="7"/>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style>
  <w:style w:type="paragraph" w:styleId="10">
    <w:name w:val="Normal (Web)"/>
    <w:basedOn w:val="1"/>
    <w:qFormat/>
    <w:uiPriority w:val="99"/>
    <w:pPr>
      <w:widowControl/>
      <w:spacing w:before="100" w:beforeAutospacing="1" w:after="100" w:afterAutospacing="1"/>
      <w:jc w:val="left"/>
    </w:pPr>
    <w:rPr>
      <w:rFonts w:ascii="宋体" w:hAnsi="宋体"/>
      <w:kern w:val="0"/>
      <w:sz w:val="24"/>
    </w:rPr>
  </w:style>
  <w:style w:type="paragraph" w:styleId="11">
    <w:name w:val="Body Text First Indent"/>
    <w:basedOn w:val="5"/>
    <w:qFormat/>
    <w:uiPriority w:val="0"/>
    <w:pPr>
      <w:spacing w:after="120"/>
      <w:ind w:firstLine="420" w:firstLineChars="100"/>
    </w:pPr>
    <w:rPr>
      <w:rFonts w:ascii="Calibri" w:hAnsi="Calibri"/>
      <w:sz w:val="21"/>
      <w:szCs w:val="2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Ｄ级样式"/>
    <w:basedOn w:val="1"/>
    <w:next w:val="1"/>
    <w:qFormat/>
    <w:uiPriority w:val="0"/>
    <w:pPr>
      <w:autoSpaceDE w:val="0"/>
      <w:autoSpaceDN w:val="0"/>
      <w:adjustRightInd w:val="0"/>
      <w:spacing w:line="460" w:lineRule="exact"/>
      <w:ind w:firstLine="480" w:firstLineChars="200"/>
    </w:pPr>
    <w:rPr>
      <w:rFonts w:ascii="Arial" w:hAnsi="Arial"/>
      <w:bCs/>
      <w:sz w:val="24"/>
    </w:rPr>
  </w:style>
  <w:style w:type="paragraph" w:styleId="16">
    <w:name w:val="List Paragraph"/>
    <w:basedOn w:val="1"/>
    <w:unhideWhenUsed/>
    <w:qFormat/>
    <w:uiPriority w:val="34"/>
    <w:pPr>
      <w:ind w:firstLine="420" w:firstLineChars="200"/>
    </w:pPr>
  </w:style>
  <w:style w:type="paragraph" w:customStyle="1" w:styleId="17">
    <w:name w:val="_Style 3"/>
    <w:basedOn w:val="1"/>
    <w:qFormat/>
    <w:uiPriority w:val="99"/>
    <w:pPr>
      <w:ind w:firstLine="420" w:firstLineChars="200"/>
    </w:pPr>
    <w:rPr>
      <w:sz w:val="20"/>
    </w:rPr>
  </w:style>
  <w:style w:type="paragraph" w:customStyle="1" w:styleId="18">
    <w:name w:val="Pa3"/>
    <w:basedOn w:val="1"/>
    <w:next w:val="1"/>
    <w:qFormat/>
    <w:uiPriority w:val="99"/>
    <w:pPr>
      <w:widowControl/>
      <w:spacing w:line="141" w:lineRule="atLeast"/>
    </w:pPr>
    <w:rPr>
      <w:rFonts w:ascii="Univers 57 Condensed" w:eastAsia="Univers 57 Condensed"/>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4794</Words>
  <Characters>5952</Characters>
  <Lines>59</Lines>
  <Paragraphs>16</Paragraphs>
  <TotalTime>12</TotalTime>
  <ScaleCrop>false</ScaleCrop>
  <LinksUpToDate>false</LinksUpToDate>
  <CharactersWithSpaces>6558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2025-02-14T18:35:00Z</dcterms:created>
  <dc:creator>nuoxiyu</dc:creator>
  <cp:lastModifiedBy>W519</cp:lastModifiedBy>
  <dcterms:modified xsi:type="dcterms:W3CDTF">2025-08-20T07:51:51Z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485881689F796960BF95BC67790616F1_43</vt:lpwstr>
  </property>
  <property fmtid="{D5CDD505-2E9C-101B-9397-08002B2CF9AE}" pid="4" name="KSOTemplateDocerSaveRecord">
    <vt:lpwstr>eyJoZGlkIjoiMzg3Y2VhZmY1ZjNkZjdhZmFhNzgwNGEwOGI5Mjc3MjciLCJ1c2VySWQiOiIzMzQyNDgxMDMifQ==</vt:lpwstr>
  </property>
</Properties>
</file>