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CF54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sz w:val="40"/>
          <w:szCs w:val="40"/>
        </w:rPr>
      </w:pPr>
      <w:r>
        <w:rPr>
          <w:rFonts w:hint="eastAsia" w:ascii="方正小标宋简体" w:hAnsi="方正小标宋简体" w:eastAsia="方正小标宋简体" w:cs="方正小标宋简体"/>
          <w:color w:val="000000"/>
          <w:sz w:val="40"/>
          <w:szCs w:val="40"/>
        </w:rPr>
        <w:t>广东生态工程职业学院招标采购规范化管理与内控效能专项审计调查实施方案</w:t>
      </w:r>
    </w:p>
    <w:p w14:paraId="3E6B8C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32"/>
          <w:szCs w:val="32"/>
          <w:lang w:val="en-US" w:eastAsia="zh-CN" w:bidi="ar"/>
        </w:rPr>
      </w:pPr>
    </w:p>
    <w:p w14:paraId="4F7F4D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为深入落实学校全面从严治党会议精神，严格贯彻《广东省委教育工委 广东省教育厅关于印发 &lt;开展全省教育系统突出问题整治落实以案促改促治工作方案&gt;》要求，进一步规范学校招标采购行为，健全采购内控管理体系，防范采购领域廉政风险，提升采购资金使用效益，结合学校招标采购工作实际，制定本实施方案。</w:t>
      </w:r>
    </w:p>
    <w:p w14:paraId="0DAF62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一、审计目标</w:t>
      </w:r>
    </w:p>
    <w:p w14:paraId="7A43CA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以习近平新时代中国特色社会主义思想为指导，紧扣学校全面从严治党工作要求，对标上级教育系统突出问题整治以案促改促治工作部署，通过专项审计调查，全面掌握学校2023年1月至2025年12月期间招标采购工作规范化管理及内控效能建设整体情况，科学评估采购政策执行、流程管控、制度落实等工作成效，揭示招标采购领域价格管控、流程执行、内控管理等环节存在的突出问题和薄弱环节，深挖问题根源并提出针对性审计建议，推动学校招标采购责任层层压实、流程规范完善、内控体系健全有效，构建招标采购领域长效监管机制，切实防范廉政风险，提升学校资产管理和资金使用效益。</w:t>
      </w:r>
    </w:p>
    <w:p w14:paraId="67FA54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二、审计对象及范围</w:t>
      </w:r>
    </w:p>
    <w:p w14:paraId="448CD3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2023年1月至2025年12 月期间学校所有招标采购项目及内控管理工作，重大问题、历史遗留问题及整改不到位问题可延伸审计至其他年度。审计对象涵盖学校负责招标采购工作的资产管理、财务、后勤、基建、科研等职能部门，以及参与学校招标采购活动的供应商、评标专家等相关主体；审计范围包括货物、工程、服务类招标采购项目，覆盖采购立项、预算审批、招标实施、评标定标、合同签订、验收付款、档案管理等全流程，以及招标采购内控管理制度建设、执行与监督等相关工作。</w:t>
      </w:r>
    </w:p>
    <w:p w14:paraId="35779D1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三、审计内容和重点</w:t>
      </w:r>
    </w:p>
    <w:p w14:paraId="3F05CA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 w:hAnsi="楷体" w:eastAsia="楷体" w:cs="楷体"/>
          <w:b w:val="0"/>
          <w:bCs w:val="0"/>
          <w:color w:val="000000"/>
          <w:sz w:val="32"/>
          <w:szCs w:val="32"/>
        </w:rPr>
      </w:pPr>
      <w:r>
        <w:rPr>
          <w:rFonts w:hint="eastAsia" w:ascii="楷体" w:hAnsi="楷体" w:eastAsia="楷体" w:cs="楷体"/>
          <w:b w:val="0"/>
          <w:bCs w:val="0"/>
          <w:color w:val="000000"/>
          <w:sz w:val="32"/>
          <w:szCs w:val="32"/>
        </w:rPr>
        <w:t>（一）招标采购价格管控与利益输送防控</w:t>
      </w:r>
    </w:p>
    <w:p w14:paraId="31DDE79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b/>
          <w:bCs/>
          <w:color w:val="000000"/>
          <w:sz w:val="32"/>
          <w:szCs w:val="32"/>
        </w:rPr>
        <w:t>价格公允性</w:t>
      </w:r>
      <w:r>
        <w:rPr>
          <w:rFonts w:hint="eastAsia" w:ascii="仿宋" w:hAnsi="仿宋" w:eastAsia="仿宋" w:cs="仿宋"/>
          <w:color w:val="000000"/>
          <w:sz w:val="32"/>
          <w:szCs w:val="32"/>
        </w:rPr>
        <w:t>：抽取学校重点招标采购项目，核查中标价格与同期市场公允价、历史采购价、行业指导价的匹配性，排查是否存在虚高报价、抬高采购价格等问题；核查采购定价依据是否充分、合理，是否存在无依据定价、提高采购成本的情况。</w:t>
      </w:r>
    </w:p>
    <w:p w14:paraId="34B6CF4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b/>
          <w:bCs/>
          <w:color w:val="000000"/>
          <w:sz w:val="32"/>
          <w:szCs w:val="32"/>
        </w:rPr>
        <w:t>供应商关联关系</w:t>
      </w:r>
      <w:r>
        <w:rPr>
          <w:rFonts w:hint="eastAsia" w:ascii="仿宋" w:hAnsi="仿宋" w:eastAsia="仿宋" w:cs="仿宋"/>
          <w:color w:val="000000"/>
          <w:sz w:val="32"/>
          <w:szCs w:val="32"/>
        </w:rPr>
        <w:t>：排查中标供应商与学校教职工、采购决策人员、评标人员是否存在利益关联；核查是否存在通过指定品牌、设置排他性条款</w:t>
      </w:r>
      <w:r>
        <w:rPr>
          <w:rFonts w:hint="eastAsia" w:ascii="仿宋" w:hAnsi="仿宋" w:eastAsia="仿宋" w:cs="仿宋"/>
          <w:color w:val="000000"/>
          <w:sz w:val="32"/>
          <w:szCs w:val="32"/>
          <w:lang w:val="en-US" w:eastAsia="zh-CN"/>
        </w:rPr>
        <w:t>等</w:t>
      </w:r>
      <w:r>
        <w:rPr>
          <w:rFonts w:hint="eastAsia" w:ascii="仿宋" w:hAnsi="仿宋" w:eastAsia="仿宋" w:cs="仿宋"/>
          <w:color w:val="000000"/>
          <w:sz w:val="32"/>
          <w:szCs w:val="32"/>
        </w:rPr>
        <w:t>规避公开竞争的行为。</w:t>
      </w:r>
    </w:p>
    <w:p w14:paraId="5A0830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b/>
          <w:bCs/>
          <w:color w:val="000000"/>
          <w:sz w:val="32"/>
          <w:szCs w:val="32"/>
        </w:rPr>
        <w:t>采购数量真实性</w:t>
      </w:r>
      <w:r>
        <w:rPr>
          <w:rFonts w:hint="eastAsia" w:ascii="仿宋" w:hAnsi="仿宋" w:eastAsia="仿宋" w:cs="仿宋"/>
          <w:color w:val="000000"/>
          <w:sz w:val="32"/>
          <w:szCs w:val="32"/>
        </w:rPr>
        <w:t>：核对采购项目申报数量与学校实际需求、库存结余、使用消耗情况，核查是否存在超量采购、重复采购等问题；排查是否存在虚假申报采购需求、套取学校资金的情况。</w:t>
      </w:r>
    </w:p>
    <w:p w14:paraId="08FCA9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 w:hAnsi="楷体" w:eastAsia="楷体" w:cs="楷体"/>
          <w:b w:val="0"/>
          <w:bCs w:val="0"/>
          <w:color w:val="000000"/>
          <w:sz w:val="32"/>
          <w:szCs w:val="32"/>
        </w:rPr>
      </w:pPr>
      <w:r>
        <w:rPr>
          <w:rFonts w:hint="eastAsia" w:ascii="楷体" w:hAnsi="楷体" w:eastAsia="楷体" w:cs="楷体"/>
          <w:b w:val="0"/>
          <w:bCs w:val="0"/>
          <w:color w:val="000000"/>
          <w:sz w:val="32"/>
          <w:szCs w:val="32"/>
        </w:rPr>
        <w:t>（二）招标采购流程规范与内控管理执行</w:t>
      </w:r>
    </w:p>
    <w:p w14:paraId="1CD8DF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b/>
          <w:bCs/>
          <w:color w:val="000000"/>
          <w:sz w:val="32"/>
          <w:szCs w:val="32"/>
        </w:rPr>
        <w:t>采购决策与审批流程</w:t>
      </w:r>
      <w:r>
        <w:rPr>
          <w:rFonts w:hint="eastAsia" w:ascii="仿宋" w:hAnsi="仿宋" w:eastAsia="仿宋" w:cs="仿宋"/>
          <w:color w:val="000000"/>
          <w:sz w:val="32"/>
          <w:szCs w:val="32"/>
        </w:rPr>
        <w:t>：核查采购项目立项申请、可行性论证、预算审批是否符合学校内控管理规定；是否存在规避集体决策情况；是否存在擅自变更采购方式、调整采购预算和采购需求的行为。</w:t>
      </w:r>
    </w:p>
    <w:p w14:paraId="7233E9E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b/>
          <w:bCs/>
          <w:color w:val="000000"/>
          <w:sz w:val="32"/>
          <w:szCs w:val="32"/>
        </w:rPr>
        <w:t>招标实施程序合规性</w:t>
      </w:r>
      <w:r>
        <w:rPr>
          <w:rFonts w:hint="eastAsia" w:ascii="仿宋" w:hAnsi="仿宋" w:eastAsia="仿宋" w:cs="仿宋"/>
          <w:color w:val="000000"/>
          <w:sz w:val="32"/>
          <w:szCs w:val="32"/>
        </w:rPr>
        <w:t>：检查招标文件编制是否规范，是否存在设置不合理条款、排斥潜在合格供应商的情况；核查招标公告发布、供应商资格审查、评标专家抽取、开标评标定标等环节是否符合法律法规及学校制度要求；评审过程是否流于形式，评标记录是否完整、评审意见是否客观公正。</w:t>
      </w:r>
    </w:p>
    <w:p w14:paraId="1D7237C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b/>
          <w:bCs/>
          <w:color w:val="000000"/>
          <w:sz w:val="32"/>
          <w:szCs w:val="32"/>
        </w:rPr>
        <w:t>内控制衡机制建设</w:t>
      </w:r>
      <w:r>
        <w:rPr>
          <w:rFonts w:hint="eastAsia" w:ascii="仿宋" w:hAnsi="仿宋" w:eastAsia="仿宋" w:cs="仿宋"/>
          <w:color w:val="000000"/>
          <w:sz w:val="32"/>
          <w:szCs w:val="32"/>
        </w:rPr>
        <w:t>：评估学校招标采购内控体系是否健全，是否实现</w:t>
      </w:r>
      <w:r>
        <w:rPr>
          <w:rStyle w:val="8"/>
          <w:rFonts w:hint="eastAsia" w:ascii="仿宋" w:hAnsi="仿宋" w:eastAsia="仿宋" w:cs="仿宋"/>
          <w:b/>
          <w:bCs/>
          <w:color w:val="000000"/>
          <w:sz w:val="32"/>
          <w:szCs w:val="32"/>
        </w:rPr>
        <w:t>需求提出、招标采购、验收审核、资金付款</w:t>
      </w:r>
      <w:r>
        <w:rPr>
          <w:rFonts w:hint="eastAsia" w:ascii="仿宋" w:hAnsi="仿宋" w:eastAsia="仿宋" w:cs="仿宋"/>
          <w:color w:val="000000"/>
          <w:sz w:val="32"/>
          <w:szCs w:val="32"/>
        </w:rPr>
        <w:t>各岗位相互分离、相互制约；核查是否存在关键岗位权力过度集中、一人兼任多个不相容岗位的情况；检查采购全过程监督机制是否有效运行，是否存在监督缺位、流于形式的问题。</w:t>
      </w:r>
    </w:p>
    <w:p w14:paraId="5DE32B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20" w:firstLineChars="100"/>
        <w:jc w:val="left"/>
        <w:textAlignment w:val="auto"/>
        <w:rPr>
          <w:rFonts w:hint="eastAsia" w:ascii="楷体" w:hAnsi="楷体" w:eastAsia="楷体" w:cs="楷体"/>
          <w:b w:val="0"/>
          <w:bCs w:val="0"/>
          <w:color w:val="000000"/>
          <w:sz w:val="32"/>
          <w:szCs w:val="32"/>
        </w:rPr>
      </w:pPr>
      <w:r>
        <w:rPr>
          <w:rFonts w:hint="eastAsia" w:ascii="楷体" w:hAnsi="楷体" w:eastAsia="楷体" w:cs="楷体"/>
          <w:b w:val="0"/>
          <w:bCs w:val="0"/>
          <w:color w:val="000000"/>
          <w:sz w:val="32"/>
          <w:szCs w:val="32"/>
        </w:rPr>
        <w:t>（三）政府采购政策执行与制度体系落实</w:t>
      </w:r>
    </w:p>
    <w:p w14:paraId="657FB78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b/>
          <w:bCs/>
          <w:color w:val="000000"/>
          <w:sz w:val="32"/>
          <w:szCs w:val="32"/>
        </w:rPr>
        <w:t>政策执行情况</w:t>
      </w:r>
      <w:r>
        <w:rPr>
          <w:rFonts w:hint="eastAsia" w:ascii="仿宋" w:hAnsi="仿宋" w:eastAsia="仿宋" w:cs="仿宋"/>
          <w:color w:val="000000"/>
          <w:sz w:val="32"/>
          <w:szCs w:val="32"/>
        </w:rPr>
        <w:t>：检查学校是否严格执行政府采购法等法律法规及省直教育系统招标采购负面清单要求；是否存在规避公开招标、项目拆分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化整为零</w:t>
      </w:r>
      <w:r>
        <w:rPr>
          <w:rFonts w:hint="eastAsia" w:ascii="仿宋" w:hAnsi="仿宋" w:eastAsia="仿宋" w:cs="仿宋"/>
          <w:color w:val="000000"/>
          <w:sz w:val="32"/>
          <w:szCs w:val="32"/>
          <w:lang w:val="en-US" w:eastAsia="zh-CN"/>
        </w:rPr>
        <w:t>等</w:t>
      </w:r>
      <w:r>
        <w:rPr>
          <w:rFonts w:hint="eastAsia" w:ascii="仿宋" w:hAnsi="仿宋" w:eastAsia="仿宋" w:cs="仿宋"/>
          <w:color w:val="000000"/>
          <w:sz w:val="32"/>
          <w:szCs w:val="32"/>
        </w:rPr>
        <w:t>违规行为；核查政府采购项目备案、审批、采购信息公开等环节是否按规定执行。</w:t>
      </w:r>
    </w:p>
    <w:p w14:paraId="647A01B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b/>
          <w:bCs/>
          <w:color w:val="000000"/>
          <w:sz w:val="32"/>
          <w:szCs w:val="32"/>
        </w:rPr>
        <w:t>内部制度建设与执行</w:t>
      </w:r>
      <w:r>
        <w:rPr>
          <w:rFonts w:hint="eastAsia" w:ascii="仿宋" w:hAnsi="仿宋" w:eastAsia="仿宋" w:cs="仿宋"/>
          <w:color w:val="000000"/>
          <w:sz w:val="32"/>
          <w:szCs w:val="32"/>
        </w:rPr>
        <w:t>：审查学校招标采购管理制度、内控管理办法、评标管理细则等制度是否完备，是否结合上级政策要求和学校实际及时修订更新，制度是否覆盖采购全流程；核查各项制度是否有效落地执行，是否存在制度与实际运营脱节、制度执行</w:t>
      </w:r>
      <w:r>
        <w:rPr>
          <w:rFonts w:hint="eastAsia" w:ascii="仿宋" w:hAnsi="仿宋" w:eastAsia="仿宋" w:cs="仿宋"/>
          <w:color w:val="000000"/>
          <w:sz w:val="32"/>
          <w:szCs w:val="32"/>
          <w:lang w:val="en-US" w:eastAsia="zh-CN"/>
        </w:rPr>
        <w:t>不力</w:t>
      </w:r>
      <w:r>
        <w:rPr>
          <w:rFonts w:hint="eastAsia" w:ascii="仿宋" w:hAnsi="仿宋" w:eastAsia="仿宋" w:cs="仿宋"/>
          <w:color w:val="000000"/>
          <w:sz w:val="32"/>
          <w:szCs w:val="32"/>
        </w:rPr>
        <w:t>的情况。</w:t>
      </w:r>
    </w:p>
    <w:p w14:paraId="4B5F411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left"/>
        <w:textAlignment w:val="auto"/>
        <w:rPr>
          <w:rFonts w:hint="eastAsia" w:ascii="仿宋" w:hAnsi="仿宋" w:eastAsia="仿宋" w:cs="仿宋"/>
          <w:color w:val="000000"/>
          <w:sz w:val="32"/>
          <w:szCs w:val="32"/>
          <w:lang w:val="en-US" w:eastAsia="zh-CN"/>
        </w:rPr>
      </w:pPr>
      <w:r>
        <w:rPr>
          <w:rStyle w:val="8"/>
          <w:rFonts w:hint="eastAsia" w:ascii="仿宋" w:hAnsi="仿宋" w:eastAsia="仿宋" w:cs="仿宋"/>
          <w:b/>
          <w:bCs/>
          <w:color w:val="000000"/>
          <w:sz w:val="32"/>
          <w:szCs w:val="32"/>
        </w:rPr>
        <w:t>从业人员履职能力与廉洁自律</w:t>
      </w:r>
      <w:r>
        <w:rPr>
          <w:rFonts w:hint="eastAsia" w:ascii="仿宋" w:hAnsi="仿宋" w:eastAsia="仿宋" w:cs="仿宋"/>
          <w:color w:val="000000"/>
          <w:sz w:val="32"/>
          <w:szCs w:val="32"/>
        </w:rPr>
        <w:t>：核查招标采购人员是否具备相应的专业资质和业务能力，是否定期参加政策法规和业务技能培训；排查是否存在因专业能力不足导致采购工作出现失误；核查采是否存在利用信息不对称谋取私利</w:t>
      </w:r>
      <w:r>
        <w:rPr>
          <w:rFonts w:hint="eastAsia" w:ascii="仿宋" w:hAnsi="仿宋" w:eastAsia="仿宋" w:cs="仿宋"/>
          <w:color w:val="000000"/>
          <w:sz w:val="32"/>
          <w:szCs w:val="32"/>
          <w:lang w:val="en-US" w:eastAsia="zh-CN"/>
        </w:rPr>
        <w:t>行为。</w:t>
      </w:r>
    </w:p>
    <w:p w14:paraId="10D59B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20" w:firstLineChars="100"/>
        <w:jc w:val="left"/>
        <w:textAlignment w:val="auto"/>
        <w:rPr>
          <w:rFonts w:hint="eastAsia" w:ascii="楷体" w:hAnsi="楷体" w:eastAsia="楷体" w:cs="楷体"/>
          <w:b w:val="0"/>
          <w:bCs w:val="0"/>
          <w:color w:val="000000"/>
          <w:sz w:val="32"/>
          <w:szCs w:val="32"/>
        </w:rPr>
      </w:pPr>
      <w:r>
        <w:rPr>
          <w:rFonts w:hint="eastAsia" w:ascii="楷体" w:hAnsi="楷体" w:eastAsia="楷体" w:cs="楷体"/>
          <w:b w:val="0"/>
          <w:bCs w:val="0"/>
          <w:color w:val="000000"/>
          <w:sz w:val="32"/>
          <w:szCs w:val="32"/>
          <w:lang w:eastAsia="zh-CN"/>
        </w:rPr>
        <w:t>（</w:t>
      </w:r>
      <w:r>
        <w:rPr>
          <w:rFonts w:hint="eastAsia" w:ascii="楷体" w:hAnsi="楷体" w:eastAsia="楷体" w:cs="楷体"/>
          <w:b w:val="0"/>
          <w:bCs w:val="0"/>
          <w:color w:val="000000"/>
          <w:sz w:val="32"/>
          <w:szCs w:val="32"/>
          <w:lang w:val="en-US" w:eastAsia="zh-CN"/>
        </w:rPr>
        <w:t>四</w:t>
      </w:r>
      <w:r>
        <w:rPr>
          <w:rFonts w:hint="eastAsia" w:ascii="楷体" w:hAnsi="楷体" w:eastAsia="楷体" w:cs="楷体"/>
          <w:b w:val="0"/>
          <w:bCs w:val="0"/>
          <w:color w:val="000000"/>
          <w:sz w:val="32"/>
          <w:szCs w:val="32"/>
          <w:lang w:eastAsia="zh-CN"/>
        </w:rPr>
        <w:t>）</w:t>
      </w:r>
      <w:r>
        <w:rPr>
          <w:rFonts w:hint="eastAsia" w:ascii="楷体" w:hAnsi="楷体" w:eastAsia="楷体" w:cs="楷体"/>
          <w:b w:val="0"/>
          <w:bCs w:val="0"/>
          <w:color w:val="000000"/>
          <w:sz w:val="32"/>
          <w:szCs w:val="32"/>
        </w:rPr>
        <w:t>以往发现问题的整改落实情况</w:t>
      </w:r>
    </w:p>
    <w:p w14:paraId="47BF040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left"/>
        <w:textAlignment w:val="auto"/>
        <w:rPr>
          <w:rFonts w:hint="eastAsia" w:ascii="楷体" w:hAnsi="楷体" w:eastAsia="楷体" w:cs="楷体"/>
          <w:b w:val="0"/>
          <w:bCs w:val="0"/>
          <w:color w:val="000000"/>
          <w:kern w:val="0"/>
          <w:sz w:val="32"/>
          <w:szCs w:val="32"/>
          <w:lang w:val="en-US" w:eastAsia="zh-CN" w:bidi="ar"/>
        </w:rPr>
      </w:pPr>
      <w:r>
        <w:rPr>
          <w:rFonts w:hint="eastAsia" w:ascii="楷体" w:hAnsi="楷体" w:eastAsia="楷体" w:cs="楷体"/>
          <w:b w:val="0"/>
          <w:bCs w:val="0"/>
          <w:color w:val="000000"/>
          <w:kern w:val="0"/>
          <w:sz w:val="32"/>
          <w:szCs w:val="32"/>
          <w:lang w:val="en-US" w:eastAsia="zh-CN" w:bidi="ar"/>
        </w:rPr>
        <w:t>（五）结合学校以往巡察、审计、专项检查中发现的招标采购领域相关问题及整改要求，开展整改成效“回头看”。</w:t>
      </w:r>
    </w:p>
    <w:p w14:paraId="2C3F3B1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重点核查问题整改措施是否落地见效，整改是否彻底到位；排查是否存在问题反弹、虚假整改、边改边犯等情况；核查整改责任是否压实，长效整改机制是否建立。</w:t>
      </w:r>
    </w:p>
    <w:p w14:paraId="4E9CBF4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left"/>
        <w:textAlignment w:val="auto"/>
        <w:rPr>
          <w:rFonts w:hint="eastAsia" w:ascii="楷体" w:hAnsi="楷体" w:eastAsia="楷体" w:cs="楷体"/>
          <w:b w:val="0"/>
          <w:bCs w:val="0"/>
          <w:color w:val="000000"/>
          <w:kern w:val="0"/>
          <w:sz w:val="32"/>
          <w:szCs w:val="32"/>
          <w:lang w:val="en-US" w:eastAsia="zh-CN" w:bidi="ar"/>
        </w:rPr>
      </w:pPr>
      <w:r>
        <w:rPr>
          <w:rFonts w:hint="eastAsia" w:ascii="楷体" w:hAnsi="楷体" w:eastAsia="楷体" w:cs="楷体"/>
          <w:b w:val="0"/>
          <w:bCs w:val="0"/>
          <w:color w:val="000000"/>
          <w:kern w:val="0"/>
          <w:sz w:val="32"/>
          <w:szCs w:val="32"/>
          <w:lang w:val="en-US" w:eastAsia="zh-CN" w:bidi="ar"/>
        </w:rPr>
        <w:t>（六）其他事项</w:t>
      </w:r>
    </w:p>
    <w:p w14:paraId="133FC59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审计过程中发现的招标采购领域其他违规问题。</w:t>
      </w:r>
    </w:p>
    <w:p w14:paraId="63ECBAC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四、工作步骤及时间安排</w:t>
      </w:r>
    </w:p>
    <w:tbl>
      <w:tblPr>
        <w:tblStyle w:val="6"/>
        <w:tblW w:w="0" w:type="auto"/>
        <w:tblCellSpacing w:w="15" w:type="dxa"/>
        <w:tblInd w:w="-83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5"/>
        <w:gridCol w:w="1591"/>
        <w:gridCol w:w="1432"/>
        <w:gridCol w:w="6676"/>
      </w:tblGrid>
      <w:tr w14:paraId="517ED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1591" w:type="dxa"/>
            <w:gridSpan w:val="2"/>
            <w:shd w:val="clear" w:color="auto" w:fill="auto"/>
            <w:vAlign w:val="center"/>
          </w:tcPr>
          <w:p w14:paraId="1E9E28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center"/>
              <w:textAlignment w:val="auto"/>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val="en-US" w:eastAsia="zh-CN" w:bidi="ar"/>
              </w:rPr>
              <w:t>阶段</w:t>
            </w:r>
          </w:p>
        </w:tc>
        <w:tc>
          <w:tcPr>
            <w:tcW w:w="1402" w:type="dxa"/>
            <w:shd w:val="clear" w:color="auto" w:fill="auto"/>
            <w:vAlign w:val="center"/>
          </w:tcPr>
          <w:p w14:paraId="2956DD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center"/>
              <w:textAlignment w:val="auto"/>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val="en-US" w:eastAsia="zh-CN" w:bidi="ar"/>
              </w:rPr>
              <w:t>时间节点</w:t>
            </w:r>
          </w:p>
        </w:tc>
        <w:tc>
          <w:tcPr>
            <w:tcW w:w="6631" w:type="dxa"/>
            <w:shd w:val="clear" w:color="auto" w:fill="auto"/>
            <w:vAlign w:val="center"/>
          </w:tcPr>
          <w:p w14:paraId="2E3C46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center"/>
              <w:textAlignment w:val="auto"/>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val="en-US" w:eastAsia="zh-CN" w:bidi="ar"/>
              </w:rPr>
              <w:t>主要任务内容</w:t>
            </w:r>
          </w:p>
        </w:tc>
      </w:tr>
      <w:tr w14:paraId="74083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0" w:type="dxa"/>
          <w:tblCellSpacing w:w="15" w:type="dxa"/>
        </w:trPr>
        <w:tc>
          <w:tcPr>
            <w:tcW w:w="1546" w:type="dxa"/>
            <w:shd w:val="clear" w:color="auto" w:fill="auto"/>
            <w:vAlign w:val="center"/>
          </w:tcPr>
          <w:p w14:paraId="0E374A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审前准备阶段</w:t>
            </w:r>
          </w:p>
        </w:tc>
        <w:tc>
          <w:tcPr>
            <w:tcW w:w="1402" w:type="dxa"/>
            <w:shd w:val="clear" w:color="auto" w:fill="auto"/>
            <w:vAlign w:val="center"/>
          </w:tcPr>
          <w:p w14:paraId="6680AE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2026年3月 - 5月</w:t>
            </w:r>
          </w:p>
        </w:tc>
        <w:tc>
          <w:tcPr>
            <w:tcW w:w="6631" w:type="dxa"/>
            <w:shd w:val="clear" w:color="auto" w:fill="auto"/>
            <w:vAlign w:val="center"/>
          </w:tcPr>
          <w:p w14:paraId="09FDC9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成立审计组，制定实施方案，明确人员分工；梳理招标采购相关法律法规、上级政策文件及学校内部制度；收集2023-2025年采购项目立项、预算、招标、合同、验收、付款等资料及财务数据，完成审计前工作部署。</w:t>
            </w:r>
          </w:p>
        </w:tc>
      </w:tr>
      <w:tr w14:paraId="37302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0" w:type="dxa"/>
          <w:tblCellSpacing w:w="15" w:type="dxa"/>
        </w:trPr>
        <w:tc>
          <w:tcPr>
            <w:tcW w:w="1546" w:type="dxa"/>
            <w:shd w:val="clear" w:color="auto" w:fill="auto"/>
            <w:vAlign w:val="center"/>
          </w:tcPr>
          <w:p w14:paraId="6F8ABF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审计实施阶段</w:t>
            </w:r>
          </w:p>
        </w:tc>
        <w:tc>
          <w:tcPr>
            <w:tcW w:w="1402" w:type="dxa"/>
            <w:shd w:val="clear" w:color="auto" w:fill="auto"/>
            <w:vAlign w:val="center"/>
          </w:tcPr>
          <w:p w14:paraId="7976DE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CN"/>
              </w:rPr>
              <w:t>2026年5月下旬-6月下旬</w:t>
            </w:r>
          </w:p>
        </w:tc>
        <w:tc>
          <w:tcPr>
            <w:tcW w:w="6631" w:type="dxa"/>
            <w:shd w:val="clear" w:color="auto" w:fill="auto"/>
            <w:vAlign w:val="center"/>
          </w:tcPr>
          <w:p w14:paraId="1FDEBB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审计组执行审计程序，通过资料核查、数据比对、现场核查、座谈询问、项目抽查等方式，全面核查价格管控、流程执行、制度落实、内控管理等方面情况；整理审计工作底稿，梳理问题清单，汇总形成书面审计材料。</w:t>
            </w:r>
            <w:bookmarkStart w:id="0" w:name="_GoBack"/>
            <w:bookmarkEnd w:id="0"/>
          </w:p>
        </w:tc>
      </w:tr>
      <w:tr w14:paraId="373EC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0" w:type="dxa"/>
          <w:tblCellSpacing w:w="15" w:type="dxa"/>
        </w:trPr>
        <w:tc>
          <w:tcPr>
            <w:tcW w:w="1546" w:type="dxa"/>
            <w:shd w:val="clear" w:color="auto" w:fill="auto"/>
            <w:vAlign w:val="center"/>
          </w:tcPr>
          <w:p w14:paraId="539BC6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审计报告阶段</w:t>
            </w:r>
          </w:p>
        </w:tc>
        <w:tc>
          <w:tcPr>
            <w:tcW w:w="1402" w:type="dxa"/>
            <w:shd w:val="clear" w:color="auto" w:fill="auto"/>
            <w:vAlign w:val="center"/>
          </w:tcPr>
          <w:p w14:paraId="069631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CN"/>
              </w:rPr>
              <w:t>2026年7月下旬 -9月下旬</w:t>
            </w:r>
          </w:p>
        </w:tc>
        <w:tc>
          <w:tcPr>
            <w:tcW w:w="6631" w:type="dxa"/>
            <w:shd w:val="clear" w:color="auto" w:fill="auto"/>
            <w:vAlign w:val="center"/>
          </w:tcPr>
          <w:p w14:paraId="105DB5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撰写《招标采购规范化管理与内控效能专项审计调查报告》（征求意见稿），广泛征求相关职能部门意见；根据反馈意见修改完善报告，提交学校审议，形成审计调查报告定稿。</w:t>
            </w:r>
          </w:p>
        </w:tc>
      </w:tr>
      <w:tr w14:paraId="6A21F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Before w:val="1"/>
          <w:wBefore w:w="0" w:type="dxa"/>
          <w:tblCellSpacing w:w="15" w:type="dxa"/>
        </w:trPr>
        <w:tc>
          <w:tcPr>
            <w:tcW w:w="1546" w:type="dxa"/>
            <w:shd w:val="clear" w:color="auto" w:fill="auto"/>
            <w:vAlign w:val="center"/>
          </w:tcPr>
          <w:p w14:paraId="3389ACC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CN"/>
              </w:rPr>
              <w:t>印发审计报告</w:t>
            </w:r>
          </w:p>
        </w:tc>
        <w:tc>
          <w:tcPr>
            <w:tcW w:w="1402" w:type="dxa"/>
            <w:shd w:val="clear" w:color="auto" w:fill="auto"/>
            <w:vAlign w:val="center"/>
          </w:tcPr>
          <w:p w14:paraId="041E646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CN"/>
              </w:rPr>
              <w:t>2026年10月</w:t>
            </w:r>
          </w:p>
        </w:tc>
        <w:tc>
          <w:tcPr>
            <w:tcW w:w="6631" w:type="dxa"/>
            <w:shd w:val="clear" w:color="auto" w:fill="auto"/>
            <w:vAlign w:val="center"/>
          </w:tcPr>
          <w:p w14:paraId="16B1D2A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CN"/>
              </w:rPr>
              <w:t>印发专项审计调查报告、问题汇总表等相关材料。</w:t>
            </w:r>
          </w:p>
        </w:tc>
      </w:tr>
      <w:tr w14:paraId="2FE7E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Before w:val="1"/>
          <w:wBefore w:w="0" w:type="dxa"/>
          <w:tblCellSpacing w:w="15" w:type="dxa"/>
        </w:trPr>
        <w:tc>
          <w:tcPr>
            <w:tcW w:w="1546" w:type="dxa"/>
            <w:shd w:val="clear" w:color="auto" w:fill="auto"/>
            <w:vAlign w:val="center"/>
          </w:tcPr>
          <w:p w14:paraId="26671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整改阶段</w:t>
            </w:r>
          </w:p>
        </w:tc>
        <w:tc>
          <w:tcPr>
            <w:tcW w:w="1402" w:type="dxa"/>
            <w:shd w:val="clear" w:color="auto" w:fill="auto"/>
            <w:vAlign w:val="center"/>
          </w:tcPr>
          <w:p w14:paraId="411130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CN"/>
              </w:rPr>
              <w:t>2026年10月起</w:t>
            </w:r>
          </w:p>
        </w:tc>
        <w:tc>
          <w:tcPr>
            <w:tcW w:w="6631" w:type="dxa"/>
            <w:shd w:val="clear" w:color="auto" w:fill="auto"/>
            <w:vAlign w:val="center"/>
          </w:tcPr>
          <w:p w14:paraId="484F5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针对审计发现的问题，明确整改责任主体、整改措施和整改时限，督促相关部门限期整改；建立整改台账，实行销号管理，确保问题整改到位。</w:t>
            </w:r>
          </w:p>
        </w:tc>
      </w:tr>
    </w:tbl>
    <w:p w14:paraId="728D12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五、组织保障</w:t>
      </w:r>
    </w:p>
    <w:p w14:paraId="179E1C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（一）审计组构成</w:t>
      </w:r>
    </w:p>
    <w:p w14:paraId="46CBA5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组长：姚婷</w:t>
      </w:r>
    </w:p>
    <w:p w14:paraId="7E0973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主审：张延峰 第三方机构人员1人</w:t>
      </w:r>
    </w:p>
    <w:p w14:paraId="1FDCAA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成员：第三方机构人员 2 名</w:t>
      </w:r>
    </w:p>
    <w:p w14:paraId="49691E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b w:val="0"/>
          <w:bCs w:val="0"/>
          <w:sz w:val="32"/>
          <w:szCs w:val="32"/>
          <w:lang w:val="en-US" w:eastAsia="zh-CN"/>
        </w:rPr>
        <w:t>廉政监督员：由学校纪委指派专人负责审计全过程纪律监督。</w:t>
      </w:r>
    </w:p>
    <w:p w14:paraId="5B9BB1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（二）部门职责分工</w:t>
      </w:r>
    </w:p>
    <w:p w14:paraId="6F52F5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审计工作部：统筹协调审计工作全过程，制定审计实施细则，把控审计工作质量，牵头撰写审计调查报告，督促问题整改落实。</w:t>
      </w:r>
    </w:p>
    <w:p w14:paraId="656256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财务部：提供招标采购项目预算审批、资金拨付、财务核算等账目凭证和财务资料，配合核查采购资金使用合规性。</w:t>
      </w:r>
    </w:p>
    <w:p w14:paraId="127816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招标采购中心</w:t>
      </w:r>
      <w:r>
        <w:rPr>
          <w:rFonts w:hint="eastAsia" w:ascii="仿宋" w:hAnsi="仿宋" w:eastAsia="仿宋" w:cs="仿宋"/>
          <w:sz w:val="32"/>
          <w:szCs w:val="32"/>
        </w:rPr>
        <w:t>：提交招标采购管理制度、项目立项资料、招标档案、合同协议、验收记录等资料，配合核查采购流程规范及内控管理执行情况。</w:t>
      </w:r>
    </w:p>
    <w:p w14:paraId="237044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后勤、基建、科研等相关职能部门：提供本部门负责的采购项目相关资料，如实说明采购工作开展情况，配合审计组开展现场核查和问题核实。</w:t>
      </w:r>
    </w:p>
    <w:p w14:paraId="51D4D0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六、工作要求</w:t>
      </w:r>
    </w:p>
    <w:p w14:paraId="406E70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提高政治站位：将本次专项审计作为落实学校全面从严治党、推进教育系统突出问题整治的重要举措，在学校主要负责人直接领导下开展审计调查工作，严格按照实施方案有序推进，确保审计工作落到实处。</w:t>
      </w:r>
    </w:p>
    <w:p w14:paraId="056487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确保审计质量：坚持问题导向和客观公正原则，充分做好审计取证工作，对发现的问题查深查透、核实核准，准确界定责任主体；落实 “三个区分开来” 原则要求，防范审计风险，确保审计结果真实、准确、可靠。</w:t>
      </w:r>
    </w:p>
    <w:p w14:paraId="035290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严格遵守纪律：审计工作人员要严格贯彻落实中央八项规定精神，严格执行审计 “四严禁”“八不准” 工作要求，严守工作纪律、保密纪律和廉洁纪律，严禁泄露审计工作信息和学校采购工作商业秘密，廉洁自律开展审计工作。</w:t>
      </w:r>
    </w:p>
    <w:p w14:paraId="1D2868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形成整改闭环：对审计发现的问题实行清单化管理，督促相关责任部门立行立改，对短期无法整改的问题制定阶段性整改计划；建立健全招标采购领域长效监管机制，强化审计结果运用，杜绝同类问题屡审屡犯，切实以审计整改推动学校招标采购工作规范化、内控管理效能化提升。</w:t>
      </w:r>
    </w:p>
    <w:p w14:paraId="7F7705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616842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审计工作部</w:t>
      </w:r>
    </w:p>
    <w:p w14:paraId="2EAC8F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2026年3月20日</w:t>
      </w:r>
    </w:p>
    <w:p w14:paraId="5E68DCD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sectPr>
      <w:pgSz w:w="11906" w:h="16838"/>
      <w:pgMar w:top="1984"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CA1538-D380-4A39-98E3-B432D2DF12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Arial Unicode MS"/>
    <w:panose1 w:val="02000000000000000000"/>
    <w:charset w:val="86"/>
    <w:family w:val="auto"/>
    <w:pitch w:val="default"/>
    <w:sig w:usb0="00000000" w:usb1="00000000" w:usb2="00000000" w:usb3="00000000" w:csb0="00040000" w:csb1="00000000"/>
    <w:embedRegular r:id="rId2" w:fontKey="{DC06D9EE-B4A7-4A32-8BD7-CE264B722A1B}"/>
  </w:font>
  <w:font w:name="仿宋">
    <w:panose1 w:val="02010609060101010101"/>
    <w:charset w:val="86"/>
    <w:family w:val="auto"/>
    <w:pitch w:val="default"/>
    <w:sig w:usb0="800002BF" w:usb1="38CF7CFA" w:usb2="00000016" w:usb3="00000000" w:csb0="00040001" w:csb1="00000000"/>
    <w:embedRegular r:id="rId3" w:fontKey="{9C5EDEEF-10C6-4D98-9E59-D317F8E63DC0}"/>
  </w:font>
  <w:font w:name="楷体">
    <w:panose1 w:val="02010609060101010101"/>
    <w:charset w:val="86"/>
    <w:family w:val="auto"/>
    <w:pitch w:val="default"/>
    <w:sig w:usb0="800002BF" w:usb1="38CF7CFA" w:usb2="00000016" w:usb3="00000000" w:csb0="00040001" w:csb1="00000000"/>
    <w:embedRegular r:id="rId4" w:fontKey="{2F899CE9-51F6-4F49-8FBF-9056526AAC11}"/>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6005BA"/>
    <w:rsid w:val="06413050"/>
    <w:rsid w:val="0A4C7BC2"/>
    <w:rsid w:val="11947516"/>
    <w:rsid w:val="275F0ADD"/>
    <w:rsid w:val="51DB78A8"/>
    <w:rsid w:val="56682C5A"/>
    <w:rsid w:val="576005BA"/>
    <w:rsid w:val="579637F7"/>
    <w:rsid w:val="650F4BE9"/>
    <w:rsid w:val="77E4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2999</Words>
  <Characters>3044</Characters>
  <Lines>0</Lines>
  <Paragraphs>0</Paragraphs>
  <TotalTime>0</TotalTime>
  <ScaleCrop>false</ScaleCrop>
  <LinksUpToDate>false</LinksUpToDate>
  <CharactersWithSpaces>3097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2026-03-20T04:14:00Z</dcterms:created>
  <dc:creator>姚婷</dc:creator>
  <cp:lastModifiedBy>张静</cp:lastModifiedBy>
  <dcterms:modified xsi:type="dcterms:W3CDTF">2026-05-15T06:14:13Z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645ED9711DCC4944B7FFDD71404E5248_11</vt:lpwstr>
  </property>
  <property fmtid="{D5CDD505-2E9C-101B-9397-08002B2CF9AE}" pid="4" name="KSOTemplateDocerSaveRecord">
    <vt:lpwstr>eyJoZGlkIjoiOTYzZmQ0YWU0MWEzMTE5YWNlYTdjMWUyYmY0NmMxNzIiLCJ1c2VySWQiOiI2MjU5NTcwMjEifQ==</vt:lpwstr>
  </property>
</Properties>
</file>